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282"/>
      </w:tblGrid>
      <w:tr>
        <w:tc>
          <w:tcPr>
            <w:tcW w:type="dxa" w:w="10282"/>
            <w:shd w:fill="F7F1E7"/>
            <w:tcBorders>
              <w:top w:val="single" w:sz="6" w:color="F7F1E7"/>
              <w:left w:val="single" w:sz="6" w:color="F7F1E7"/>
              <w:bottom w:val="single" w:sz="6" w:color="F7F1E7"/>
              <w:right w:val="single" w:sz="6" w:color="F7F1E7"/>
            </w:tcBorders>
          </w:tcPr>
          <w:p>
            <w:pPr>
              <w:spacing w:before="400"/>
              <w:jc w:val="center"/>
            </w:pPr>
            <w:r>
              <w:drawing>
                <wp:inline xmlns:a="http://schemas.openxmlformats.org/drawingml/2006/main" xmlns:pic="http://schemas.openxmlformats.org/drawingml/2006/picture">
                  <wp:extent cx="4937760" cy="2698304"/>
                  <wp:docPr id="1" name="Picture 1"/>
                  <wp:cNvGraphicFramePr>
                    <a:graphicFrameLocks noChangeAspect="1"/>
                  </wp:cNvGraphicFramePr>
                  <a:graphic>
                    <a:graphicData uri="http://schemas.openxmlformats.org/drawingml/2006/picture">
                      <pic:pic>
                        <pic:nvPicPr>
                          <pic:cNvPr id="0" name="buildmart-nepal-header-logo.png"/>
                          <pic:cNvPicPr/>
                        </pic:nvPicPr>
                        <pic:blipFill>
                          <a:blip r:embed="rId10"/>
                          <a:stretch>
                            <a:fillRect/>
                          </a:stretch>
                        </pic:blipFill>
                        <pic:spPr>
                          <a:xfrm>
                            <a:off x="0" y="0"/>
                            <a:ext cx="4937760" cy="2698304"/>
                          </a:xfrm>
                          <a:prstGeom prst="rect"/>
                        </pic:spPr>
                      </pic:pic>
                    </a:graphicData>
                  </a:graphic>
                </wp:inline>
              </w:drawing>
            </w:r>
          </w:p>
          <w:p>
            <w:pPr>
              <w:spacing w:before="440"/>
              <w:jc w:val="center"/>
            </w:pPr>
            <w:r>
              <w:rPr>
                <w:b/>
                <w:color w:val="082B4D"/>
                <w:sz w:val="64"/>
              </w:rPr>
              <w:t>V45 Upgrade &amp; Deployment Guidebook</w:t>
            </w:r>
          </w:p>
          <w:p>
            <w:pPr>
              <w:pStyle w:val="BMNSubtitle"/>
              <w:jc w:val="center"/>
            </w:pPr>
            <w:r>
              <w:t>Pagination • Product Quick View • Version Continuity • Vercel Deployment</w:t>
            </w:r>
          </w:p>
          <w:p>
            <w:pPr>
              <w:spacing w:before="360"/>
              <w:jc w:val="center"/>
            </w:pPr>
            <w:r>
              <w:rPr>
                <w:b/>
                <w:color w:val="FF7900"/>
                <w:sz w:val="24"/>
              </w:rPr>
              <w:t>A practical owner, developer and release-manager handbook</w:t>
            </w:r>
          </w:p>
          <w:p>
            <w:pPr>
              <w:jc w:val="center"/>
            </w:pPr>
            <w:r>
              <w:br/>
              <w:t>Build Mart Nepal</w:t>
              <w:br/>
              <w:t>buildmartnepal.com</w:t>
              <w:br/>
              <w:t>Building • Living • Better</w:t>
            </w:r>
          </w:p>
          <w:p>
            <w:pPr>
              <w:jc w:val="center"/>
            </w:pPr>
            <w:r>
              <w:br/>
              <w:t>Version 45.0.0  |  July 2026</w:t>
            </w:r>
          </w:p>
          <w:p>
            <w:pPr>
              <w:jc w:val="center"/>
            </w:pPr>
            <w:r>
              <w:rPr>
                <w:color w:val="526579"/>
                <w:sz w:val="16"/>
              </w:rPr>
              <w:br/>
              <w:t>Production note: complete staging tests and environment configuration before public launch.</w:t>
            </w:r>
          </w:p>
        </w:tc>
      </w:tr>
    </w:tbl>
    <w:p>
      <w:r>
        <w:br w:type="page"/>
      </w:r>
    </w:p>
    <w:p>
      <w:pPr>
        <w:keepNext/>
        <w:spacing w:after="80"/>
      </w:pPr>
      <w:r>
        <w:rPr>
          <w:b/>
          <w:color w:val="FF7900"/>
          <w:sz w:val="16"/>
        </w:rPr>
        <w:t>GUIDEBOOK MAP</w:t>
      </w:r>
    </w:p>
    <w:p>
      <w:pPr>
        <w:pStyle w:val="Heading1"/>
        <w:keepNext/>
      </w:pPr>
      <w:r>
        <w:t>Contents</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936"/>
            <w:shd w:fill="082B4D"/>
          </w:tcPr>
          <w:p>
            <w:r>
              <w:rPr>
                <w:b/>
                <w:color w:val="FFFFFF"/>
                <w:sz w:val="18"/>
              </w:rPr>
              <w:t>Section</w:t>
            </w:r>
          </w:p>
        </w:tc>
        <w:tc>
          <w:tcPr>
            <w:tcW w:type="dxa" w:w="7776"/>
            <w:shd w:fill="082B4D"/>
          </w:tcPr>
          <w:p>
            <w:r>
              <w:rPr>
                <w:b/>
                <w:color w:val="FFFFFF"/>
                <w:sz w:val="18"/>
              </w:rPr>
              <w:t>Topic</w:t>
            </w:r>
          </w:p>
        </w:tc>
        <w:tc>
          <w:tcPr>
            <w:tcW w:type="dxa" w:w="792"/>
            <w:shd w:fill="082B4D"/>
          </w:tcPr>
          <w:p>
            <w:r>
              <w:rPr>
                <w:b/>
                <w:color w:val="FFFFFF"/>
                <w:sz w:val="18"/>
              </w:rPr>
              <w:t>Page</w:t>
            </w:r>
          </w:p>
        </w:tc>
      </w:tr>
      <w:tr>
        <w:tc>
          <w:tcPr>
            <w:tcW w:type="dxa" w:w="936"/>
            <w:shd w:fill="FFFDF9"/>
          </w:tcPr>
          <w:p>
            <w:pPr>
              <w:spacing w:after="20"/>
            </w:pPr>
            <w:r>
              <w:rPr>
                <w:sz w:val="17"/>
              </w:rPr>
              <w:t>1</w:t>
            </w:r>
          </w:p>
        </w:tc>
        <w:tc>
          <w:tcPr>
            <w:tcW w:type="dxa" w:w="7776"/>
            <w:shd w:fill="FFFDF9"/>
          </w:tcPr>
          <w:p>
            <w:pPr>
              <w:spacing w:after="20"/>
            </w:pPr>
            <w:r>
              <w:rPr>
                <w:sz w:val="17"/>
              </w:rPr>
              <w:t>Executive overview</w:t>
            </w:r>
          </w:p>
        </w:tc>
        <w:tc>
          <w:tcPr>
            <w:tcW w:type="dxa" w:w="792"/>
            <w:shd w:fill="FFFDF9"/>
          </w:tcPr>
          <w:p>
            <w:pPr>
              <w:spacing w:after="20"/>
            </w:pPr>
            <w:r>
              <w:rPr>
                <w:sz w:val="17"/>
              </w:rPr>
              <w:t>3</w:t>
            </w:r>
          </w:p>
        </w:tc>
      </w:tr>
      <w:tr>
        <w:tc>
          <w:tcPr>
            <w:tcW w:type="dxa" w:w="936"/>
          </w:tcPr>
          <w:p>
            <w:pPr>
              <w:spacing w:after="20"/>
            </w:pPr>
            <w:r>
              <w:rPr>
                <w:sz w:val="17"/>
              </w:rPr>
              <w:t>2</w:t>
            </w:r>
          </w:p>
        </w:tc>
        <w:tc>
          <w:tcPr>
            <w:tcW w:type="dxa" w:w="7776"/>
          </w:tcPr>
          <w:p>
            <w:pPr>
              <w:spacing w:after="20"/>
            </w:pPr>
            <w:r>
              <w:rPr>
                <w:sz w:val="17"/>
              </w:rPr>
              <w:t>What V45 changes</w:t>
            </w:r>
          </w:p>
        </w:tc>
        <w:tc>
          <w:tcPr>
            <w:tcW w:type="dxa" w:w="792"/>
          </w:tcPr>
          <w:p>
            <w:pPr>
              <w:spacing w:after="20"/>
            </w:pPr>
            <w:r>
              <w:rPr>
                <w:sz w:val="17"/>
              </w:rPr>
              <w:t>4</w:t>
            </w:r>
          </w:p>
        </w:tc>
      </w:tr>
      <w:tr>
        <w:tc>
          <w:tcPr>
            <w:tcW w:type="dxa" w:w="936"/>
            <w:shd w:fill="FFFDF9"/>
          </w:tcPr>
          <w:p>
            <w:pPr>
              <w:spacing w:after="20"/>
            </w:pPr>
            <w:r>
              <w:rPr>
                <w:sz w:val="17"/>
              </w:rPr>
              <w:t>3</w:t>
            </w:r>
          </w:p>
        </w:tc>
        <w:tc>
          <w:tcPr>
            <w:tcW w:type="dxa" w:w="7776"/>
            <w:shd w:fill="FFFDF9"/>
          </w:tcPr>
          <w:p>
            <w:pPr>
              <w:spacing w:after="20"/>
            </w:pPr>
            <w:r>
              <w:rPr>
                <w:sz w:val="17"/>
              </w:rPr>
              <w:t>Blog pagination</w:t>
            </w:r>
          </w:p>
        </w:tc>
        <w:tc>
          <w:tcPr>
            <w:tcW w:type="dxa" w:w="792"/>
            <w:shd w:fill="FFFDF9"/>
          </w:tcPr>
          <w:p>
            <w:pPr>
              <w:spacing w:after="20"/>
            </w:pPr>
            <w:r>
              <w:rPr>
                <w:sz w:val="17"/>
              </w:rPr>
              <w:t>5</w:t>
            </w:r>
          </w:p>
        </w:tc>
      </w:tr>
      <w:tr>
        <w:tc>
          <w:tcPr>
            <w:tcW w:type="dxa" w:w="936"/>
          </w:tcPr>
          <w:p>
            <w:pPr>
              <w:spacing w:after="20"/>
            </w:pPr>
            <w:r>
              <w:rPr>
                <w:sz w:val="17"/>
              </w:rPr>
              <w:t>4</w:t>
            </w:r>
          </w:p>
        </w:tc>
        <w:tc>
          <w:tcPr>
            <w:tcW w:type="dxa" w:w="7776"/>
          </w:tcPr>
          <w:p>
            <w:pPr>
              <w:spacing w:after="20"/>
            </w:pPr>
            <w:r>
              <w:rPr>
                <w:sz w:val="17"/>
              </w:rPr>
              <w:t>Product pagination and sorting</w:t>
            </w:r>
          </w:p>
        </w:tc>
        <w:tc>
          <w:tcPr>
            <w:tcW w:type="dxa" w:w="792"/>
          </w:tcPr>
          <w:p>
            <w:pPr>
              <w:spacing w:after="20"/>
            </w:pPr>
            <w:r>
              <w:rPr>
                <w:sz w:val="17"/>
              </w:rPr>
              <w:t>6</w:t>
            </w:r>
          </w:p>
        </w:tc>
      </w:tr>
      <w:tr>
        <w:tc>
          <w:tcPr>
            <w:tcW w:type="dxa" w:w="936"/>
            <w:shd w:fill="FFFDF9"/>
          </w:tcPr>
          <w:p>
            <w:pPr>
              <w:spacing w:after="20"/>
            </w:pPr>
            <w:r>
              <w:rPr>
                <w:sz w:val="17"/>
              </w:rPr>
              <w:t>5</w:t>
            </w:r>
          </w:p>
        </w:tc>
        <w:tc>
          <w:tcPr>
            <w:tcW w:type="dxa" w:w="7776"/>
            <w:shd w:fill="FFFDF9"/>
          </w:tcPr>
          <w:p>
            <w:pPr>
              <w:spacing w:after="20"/>
            </w:pPr>
            <w:r>
              <w:rPr>
                <w:sz w:val="17"/>
              </w:rPr>
              <w:t>Decluttered quick view</w:t>
            </w:r>
          </w:p>
        </w:tc>
        <w:tc>
          <w:tcPr>
            <w:tcW w:type="dxa" w:w="792"/>
            <w:shd w:fill="FFFDF9"/>
          </w:tcPr>
          <w:p>
            <w:pPr>
              <w:spacing w:after="20"/>
            </w:pPr>
            <w:r>
              <w:rPr>
                <w:sz w:val="17"/>
              </w:rPr>
              <w:t>7</w:t>
            </w:r>
          </w:p>
        </w:tc>
      </w:tr>
      <w:tr>
        <w:tc>
          <w:tcPr>
            <w:tcW w:type="dxa" w:w="936"/>
          </w:tcPr>
          <w:p>
            <w:pPr>
              <w:spacing w:after="20"/>
            </w:pPr>
            <w:r>
              <w:rPr>
                <w:sz w:val="17"/>
              </w:rPr>
              <w:t>6</w:t>
            </w:r>
          </w:p>
        </w:tc>
        <w:tc>
          <w:tcPr>
            <w:tcW w:type="dxa" w:w="7776"/>
          </w:tcPr>
          <w:p>
            <w:pPr>
              <w:spacing w:after="20"/>
            </w:pPr>
            <w:r>
              <w:rPr>
                <w:sz w:val="17"/>
              </w:rPr>
              <w:t>Version continuity and merging</w:t>
            </w:r>
          </w:p>
        </w:tc>
        <w:tc>
          <w:tcPr>
            <w:tcW w:type="dxa" w:w="792"/>
          </w:tcPr>
          <w:p>
            <w:pPr>
              <w:spacing w:after="20"/>
            </w:pPr>
            <w:r>
              <w:rPr>
                <w:sz w:val="17"/>
              </w:rPr>
              <w:t>8</w:t>
            </w:r>
          </w:p>
        </w:tc>
      </w:tr>
      <w:tr>
        <w:tc>
          <w:tcPr>
            <w:tcW w:type="dxa" w:w="936"/>
            <w:shd w:fill="FFFDF9"/>
          </w:tcPr>
          <w:p>
            <w:pPr>
              <w:spacing w:after="20"/>
            </w:pPr>
            <w:r>
              <w:rPr>
                <w:sz w:val="17"/>
              </w:rPr>
              <w:t>7</w:t>
            </w:r>
          </w:p>
        </w:tc>
        <w:tc>
          <w:tcPr>
            <w:tcW w:type="dxa" w:w="7776"/>
            <w:shd w:fill="FFFDF9"/>
          </w:tcPr>
          <w:p>
            <w:pPr>
              <w:spacing w:after="20"/>
            </w:pPr>
            <w:r>
              <w:rPr>
                <w:sz w:val="17"/>
              </w:rPr>
              <w:t>Package and Lucide compatibility</w:t>
            </w:r>
          </w:p>
        </w:tc>
        <w:tc>
          <w:tcPr>
            <w:tcW w:type="dxa" w:w="792"/>
            <w:shd w:fill="FFFDF9"/>
          </w:tcPr>
          <w:p>
            <w:pPr>
              <w:spacing w:after="20"/>
            </w:pPr>
            <w:r>
              <w:rPr>
                <w:sz w:val="17"/>
              </w:rPr>
              <w:t>9</w:t>
            </w:r>
          </w:p>
        </w:tc>
      </w:tr>
      <w:tr>
        <w:tc>
          <w:tcPr>
            <w:tcW w:type="dxa" w:w="936"/>
          </w:tcPr>
          <w:p>
            <w:pPr>
              <w:spacing w:after="20"/>
            </w:pPr>
            <w:r>
              <w:rPr>
                <w:sz w:val="17"/>
              </w:rPr>
              <w:t>8</w:t>
            </w:r>
          </w:p>
        </w:tc>
        <w:tc>
          <w:tcPr>
            <w:tcW w:type="dxa" w:w="7776"/>
          </w:tcPr>
          <w:p>
            <w:pPr>
              <w:spacing w:after="20"/>
            </w:pPr>
            <w:r>
              <w:rPr>
                <w:sz w:val="17"/>
              </w:rPr>
              <w:t>Vercel deployment</w:t>
            </w:r>
          </w:p>
        </w:tc>
        <w:tc>
          <w:tcPr>
            <w:tcW w:type="dxa" w:w="792"/>
          </w:tcPr>
          <w:p>
            <w:pPr>
              <w:spacing w:after="20"/>
            </w:pPr>
            <w:r>
              <w:rPr>
                <w:sz w:val="17"/>
              </w:rPr>
              <w:t>10</w:t>
            </w:r>
          </w:p>
        </w:tc>
      </w:tr>
      <w:tr>
        <w:tc>
          <w:tcPr>
            <w:tcW w:type="dxa" w:w="936"/>
            <w:shd w:fill="FFFDF9"/>
          </w:tcPr>
          <w:p>
            <w:pPr>
              <w:spacing w:after="20"/>
            </w:pPr>
            <w:r>
              <w:rPr>
                <w:sz w:val="17"/>
              </w:rPr>
              <w:t>9</w:t>
            </w:r>
          </w:p>
        </w:tc>
        <w:tc>
          <w:tcPr>
            <w:tcW w:type="dxa" w:w="7776"/>
            <w:shd w:fill="FFFDF9"/>
          </w:tcPr>
          <w:p>
            <w:pPr>
              <w:spacing w:after="20"/>
            </w:pPr>
            <w:r>
              <w:rPr>
                <w:sz w:val="17"/>
              </w:rPr>
              <w:t>Environment and database safety</w:t>
            </w:r>
          </w:p>
        </w:tc>
        <w:tc>
          <w:tcPr>
            <w:tcW w:type="dxa" w:w="792"/>
            <w:shd w:fill="FFFDF9"/>
          </w:tcPr>
          <w:p>
            <w:pPr>
              <w:spacing w:after="20"/>
            </w:pPr>
            <w:r>
              <w:rPr>
                <w:sz w:val="17"/>
              </w:rPr>
              <w:t>11</w:t>
            </w:r>
          </w:p>
        </w:tc>
      </w:tr>
      <w:tr>
        <w:tc>
          <w:tcPr>
            <w:tcW w:type="dxa" w:w="936"/>
          </w:tcPr>
          <w:p>
            <w:pPr>
              <w:spacing w:after="20"/>
            </w:pPr>
            <w:r>
              <w:rPr>
                <w:sz w:val="17"/>
              </w:rPr>
              <w:t>10</w:t>
            </w:r>
          </w:p>
        </w:tc>
        <w:tc>
          <w:tcPr>
            <w:tcW w:type="dxa" w:w="7776"/>
          </w:tcPr>
          <w:p>
            <w:pPr>
              <w:spacing w:after="20"/>
            </w:pPr>
            <w:r>
              <w:rPr>
                <w:sz w:val="17"/>
              </w:rPr>
              <w:t>Testing and smoke checks</w:t>
            </w:r>
          </w:p>
        </w:tc>
        <w:tc>
          <w:tcPr>
            <w:tcW w:type="dxa" w:w="792"/>
          </w:tcPr>
          <w:p>
            <w:pPr>
              <w:spacing w:after="20"/>
            </w:pPr>
            <w:r>
              <w:rPr>
                <w:sz w:val="17"/>
              </w:rPr>
              <w:t>12</w:t>
            </w:r>
          </w:p>
        </w:tc>
      </w:tr>
      <w:tr>
        <w:tc>
          <w:tcPr>
            <w:tcW w:type="dxa" w:w="936"/>
            <w:shd w:fill="FFFDF9"/>
          </w:tcPr>
          <w:p>
            <w:pPr>
              <w:spacing w:after="20"/>
            </w:pPr>
            <w:r>
              <w:rPr>
                <w:sz w:val="17"/>
              </w:rPr>
              <w:t>11</w:t>
            </w:r>
          </w:p>
        </w:tc>
        <w:tc>
          <w:tcPr>
            <w:tcW w:type="dxa" w:w="7776"/>
            <w:shd w:fill="FFFDF9"/>
          </w:tcPr>
          <w:p>
            <w:pPr>
              <w:spacing w:after="20"/>
            </w:pPr>
            <w:r>
              <w:rPr>
                <w:sz w:val="17"/>
              </w:rPr>
              <w:t>Rollback and recovery</w:t>
            </w:r>
          </w:p>
        </w:tc>
        <w:tc>
          <w:tcPr>
            <w:tcW w:type="dxa" w:w="792"/>
            <w:shd w:fill="FFFDF9"/>
          </w:tcPr>
          <w:p>
            <w:pPr>
              <w:spacing w:after="20"/>
            </w:pPr>
            <w:r>
              <w:rPr>
                <w:sz w:val="17"/>
              </w:rPr>
              <w:t>13</w:t>
            </w:r>
          </w:p>
        </w:tc>
      </w:tr>
      <w:tr>
        <w:tc>
          <w:tcPr>
            <w:tcW w:type="dxa" w:w="936"/>
          </w:tcPr>
          <w:p>
            <w:pPr>
              <w:spacing w:after="20"/>
            </w:pPr>
            <w:r>
              <w:rPr>
                <w:sz w:val="17"/>
              </w:rPr>
              <w:t>12</w:t>
            </w:r>
          </w:p>
        </w:tc>
        <w:tc>
          <w:tcPr>
            <w:tcW w:type="dxa" w:w="7776"/>
          </w:tcPr>
          <w:p>
            <w:pPr>
              <w:spacing w:after="20"/>
            </w:pPr>
            <w:r>
              <w:rPr>
                <w:sz w:val="17"/>
              </w:rPr>
              <w:t>Owner and admin operations</w:t>
            </w:r>
          </w:p>
        </w:tc>
        <w:tc>
          <w:tcPr>
            <w:tcW w:type="dxa" w:w="792"/>
          </w:tcPr>
          <w:p>
            <w:pPr>
              <w:spacing w:after="20"/>
            </w:pPr>
            <w:r>
              <w:rPr>
                <w:sz w:val="17"/>
              </w:rPr>
              <w:t>14</w:t>
            </w:r>
          </w:p>
        </w:tc>
      </w:tr>
      <w:tr>
        <w:tc>
          <w:tcPr>
            <w:tcW w:type="dxa" w:w="936"/>
            <w:shd w:fill="FFFDF9"/>
          </w:tcPr>
          <w:p>
            <w:pPr>
              <w:spacing w:after="20"/>
            </w:pPr>
            <w:r>
              <w:rPr>
                <w:sz w:val="17"/>
              </w:rPr>
              <w:t>13</w:t>
            </w:r>
          </w:p>
        </w:tc>
        <w:tc>
          <w:tcPr>
            <w:tcW w:type="dxa" w:w="7776"/>
            <w:shd w:fill="FFFDF9"/>
          </w:tcPr>
          <w:p>
            <w:pPr>
              <w:spacing w:after="20"/>
            </w:pPr>
            <w:r>
              <w:rPr>
                <w:sz w:val="17"/>
              </w:rPr>
              <w:t>Common errors</w:t>
            </w:r>
          </w:p>
        </w:tc>
        <w:tc>
          <w:tcPr>
            <w:tcW w:type="dxa" w:w="792"/>
            <w:shd w:fill="FFFDF9"/>
          </w:tcPr>
          <w:p>
            <w:pPr>
              <w:spacing w:after="20"/>
            </w:pPr>
            <w:r>
              <w:rPr>
                <w:sz w:val="17"/>
              </w:rPr>
              <w:t>15</w:t>
            </w:r>
          </w:p>
        </w:tc>
      </w:tr>
      <w:tr>
        <w:tc>
          <w:tcPr>
            <w:tcW w:type="dxa" w:w="936"/>
          </w:tcPr>
          <w:p>
            <w:pPr>
              <w:spacing w:after="20"/>
            </w:pPr>
            <w:r>
              <w:rPr>
                <w:sz w:val="17"/>
              </w:rPr>
              <w:t>14</w:t>
            </w:r>
          </w:p>
        </w:tc>
        <w:tc>
          <w:tcPr>
            <w:tcW w:type="dxa" w:w="7776"/>
          </w:tcPr>
          <w:p>
            <w:pPr>
              <w:spacing w:after="20"/>
            </w:pPr>
            <w:r>
              <w:rPr>
                <w:sz w:val="17"/>
              </w:rPr>
              <w:t>Final launch checklist</w:t>
            </w:r>
          </w:p>
        </w:tc>
        <w:tc>
          <w:tcPr>
            <w:tcW w:type="dxa" w:w="792"/>
          </w:tcPr>
          <w:p>
            <w:pPr>
              <w:spacing w:after="20"/>
            </w:pPr>
            <w:r>
              <w:rPr>
                <w:sz w:val="17"/>
              </w:rPr>
              <w:t>16</w:t>
            </w:r>
          </w:p>
        </w:tc>
      </w:tr>
    </w:tbl>
    <w:p/>
    <w:tbl>
      <w:tblPr>
        <w:tblW w:type="auto" w:w="0"/>
        <w:jc w:val="center"/>
        <w:tblLook w:firstColumn="1" w:firstRow="1" w:lastColumn="0" w:lastRow="0" w:noHBand="0" w:noVBand="1" w:val="04A0"/>
      </w:tblPr>
      <w:tblGrid>
        <w:gridCol w:w="10282"/>
      </w:tblGrid>
      <w:tr>
        <w:tc>
          <w:tcPr>
            <w:tcW w:type="dxa" w:w="10282"/>
            <w:shd w:fill="EAF4F1"/>
            <w:tcBorders>
              <w:top w:val="single" w:sz="10" w:color="08758B"/>
              <w:left w:val="single" w:sz="10" w:color="08758B"/>
              <w:bottom w:val="single" w:sz="10" w:color="08758B"/>
              <w:right w:val="single" w:sz="10" w:color="08758B"/>
            </w:tcBorders>
          </w:tcPr>
          <w:p>
            <w:r>
              <w:rPr>
                <w:b/>
                <w:color w:val="08758B"/>
                <w:sz w:val="22"/>
              </w:rPr>
              <w:t>How to use this guide</w:t>
            </w:r>
          </w:p>
          <w:p>
            <w:pPr>
              <w:spacing w:after="40"/>
            </w:pPr>
            <w:r>
              <w:t>Owners can use sections 1, 6, 8, 11 and 12. Developers should follow every section in order. Release managers should treat sections 8–11 and the final checklist as approval gates.</w:t>
            </w:r>
          </w:p>
        </w:tc>
      </w:tr>
    </w:tbl>
    <w:p/>
    <w:p>
      <w:r>
        <w:br w:type="page"/>
      </w:r>
    </w:p>
    <w:p>
      <w:pPr>
        <w:keepNext/>
        <w:spacing w:after="80"/>
      </w:pPr>
      <w:r>
        <w:rPr>
          <w:b/>
          <w:color w:val="FF7900"/>
          <w:sz w:val="16"/>
        </w:rPr>
        <w:t>SECTION 1</w:t>
      </w:r>
    </w:p>
    <w:p>
      <w:pPr>
        <w:pStyle w:val="Heading1"/>
        <w:keepNext/>
      </w:pPr>
      <w:r>
        <w:t>Executive overview</w:t>
      </w:r>
    </w:p>
    <w:p>
      <w:pPr>
        <w:spacing w:after="120" w:line="278" w:lineRule="auto"/>
      </w:pPr>
      <w:r>
        <w:t>Build Mart Nepal V45 is an additive reliability and usability upgrade. It keeps the full V44 application and introduces stronger pagination, a clearer product quick view, package compatibility checks, Vercel deployment controls and a version-continuity system.</w:t>
      </w:r>
    </w:p>
    <w:p>
      <w:pPr>
        <w:pStyle w:val="Heading2"/>
        <w:keepNext/>
      </w:pPr>
      <w:r>
        <w:t>Business outcomes</w:t>
      </w:r>
    </w:p>
    <w:p>
      <w:pPr>
        <w:pStyle w:val="ListBullet"/>
        <w:spacing w:after="60"/>
        <w:ind w:left="288"/>
      </w:pPr>
      <w:r>
        <w:t>Visitors can navigate large blog and product catalogues without loading every record at once.</w:t>
      </w:r>
    </w:p>
    <w:p>
      <w:pPr>
        <w:pStyle w:val="ListBullet"/>
        <w:spacing w:after="60"/>
        <w:ind w:left="288"/>
      </w:pPr>
      <w:r>
        <w:t>Filters, sorting, search terms, page size and page number remain shareable through URL parameters.</w:t>
      </w:r>
    </w:p>
    <w:p>
      <w:pPr>
        <w:pStyle w:val="ListBullet"/>
        <w:spacing w:after="60"/>
        <w:ind w:left="288"/>
      </w:pPr>
      <w:r>
        <w:t>Quick view gives the buyer essential information without overcrowding the screen.</w:t>
      </w:r>
    </w:p>
    <w:p>
      <w:pPr>
        <w:pStyle w:val="ListBullet"/>
        <w:spacing w:after="60"/>
        <w:ind w:left="288"/>
      </w:pPr>
      <w:r>
        <w:t>Deployment checks detect incompatible package versions and unsupported Lucide icon imports.</w:t>
      </w:r>
    </w:p>
    <w:p>
      <w:pPr>
        <w:pStyle w:val="ListBullet"/>
        <w:spacing w:after="60"/>
        <w:ind w:left="288"/>
      </w:pPr>
      <w:r>
        <w:t>A generated union manifest prevents older application files from disappearing during a future version upgrade.</w:t>
      </w:r>
    </w:p>
    <w:p>
      <w:pPr>
        <w:pStyle w:val="ListBullet"/>
        <w:spacing w:after="60"/>
        <w:ind w:left="288"/>
      </w:pPr>
      <w:r>
        <w:t>Public guide pages explain the marketplace, onboarding, project, finance, mobile and deployment workflows.</w:t>
      </w:r>
    </w:p>
    <w:tbl>
      <w:tblPr>
        <w:tblW w:type="auto" w:w="0"/>
        <w:jc w:val="center"/>
        <w:tblLook w:firstColumn="1" w:firstRow="1" w:lastColumn="0" w:lastRow="0" w:noHBand="0" w:noVBand="1" w:val="04A0"/>
      </w:tblPr>
      <w:tblGrid>
        <w:gridCol w:w="10282"/>
      </w:tblGrid>
      <w:tr>
        <w:tc>
          <w:tcPr>
            <w:tcW w:type="dxa" w:w="10282"/>
            <w:shd w:fill="FFF9F0"/>
            <w:tcBorders>
              <w:top w:val="single" w:sz="10" w:color="FF7900"/>
              <w:left w:val="single" w:sz="10" w:color="FF7900"/>
              <w:bottom w:val="single" w:sz="10" w:color="FF7900"/>
              <w:right w:val="single" w:sz="10" w:color="FF7900"/>
            </w:tcBorders>
          </w:tcPr>
          <w:p>
            <w:r>
              <w:rPr>
                <w:b/>
                <w:color w:val="FF7900"/>
                <w:sz w:val="22"/>
              </w:rPr>
              <w:t>Preservation rule</w:t>
            </w:r>
          </w:p>
          <w:p>
            <w:pPr>
              <w:spacing w:after="40"/>
            </w:pPr>
            <w:r>
              <w:t>V45 must not be treated as a clean rebuild. Continue from the latest complete codebase, keep database identities and routes, and approve any intentional removal separately.</w:t>
            </w:r>
          </w:p>
        </w:tc>
      </w:tr>
    </w:tbl>
    <w:p/>
    <w:p>
      <w:pPr>
        <w:pStyle w:val="Heading2"/>
        <w:keepNext/>
      </w:pPr>
      <w:r>
        <w:t>Release boundaries</w:t>
      </w:r>
    </w:p>
    <w:p>
      <w:pPr>
        <w:spacing w:after="120" w:line="278" w:lineRule="auto"/>
      </w:pPr>
      <w:r>
        <w:t>The codebase is prepared for staging and Vercel deployment. Production credentials, live database migration, payment verification, email delivery, real-device mobile testing and a full production build must still be completed in the target environment before launch.</w:t>
      </w:r>
    </w:p>
    <w:p>
      <w:r>
        <w:br w:type="page"/>
      </w:r>
    </w:p>
    <w:p>
      <w:pPr>
        <w:keepNext/>
        <w:spacing w:after="80"/>
      </w:pPr>
      <w:r>
        <w:rPr>
          <w:b/>
          <w:color w:val="FF7900"/>
          <w:sz w:val="16"/>
        </w:rPr>
        <w:t>SECTION 2</w:t>
      </w:r>
    </w:p>
    <w:p>
      <w:pPr>
        <w:pStyle w:val="Heading1"/>
        <w:keepNext/>
      </w:pPr>
      <w:r>
        <w:t>What V45 changes</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1800"/>
            <w:shd w:fill="082B4D"/>
          </w:tcPr>
          <w:p>
            <w:r>
              <w:rPr>
                <w:b/>
                <w:color w:val="FFFFFF"/>
                <w:sz w:val="18"/>
              </w:rPr>
              <w:t>Area</w:t>
            </w:r>
          </w:p>
        </w:tc>
        <w:tc>
          <w:tcPr>
            <w:tcW w:type="dxa" w:w="3312"/>
            <w:shd w:fill="082B4D"/>
          </w:tcPr>
          <w:p>
            <w:r>
              <w:rPr>
                <w:b/>
                <w:color w:val="FFFFFF"/>
                <w:sz w:val="18"/>
              </w:rPr>
              <w:t>Before</w:t>
            </w:r>
          </w:p>
        </w:tc>
        <w:tc>
          <w:tcPr>
            <w:tcW w:type="dxa" w:w="4392"/>
            <w:shd w:fill="082B4D"/>
          </w:tcPr>
          <w:p>
            <w:r>
              <w:rPr>
                <w:b/>
                <w:color w:val="FFFFFF"/>
                <w:sz w:val="18"/>
              </w:rPr>
              <w:t>V45</w:t>
            </w:r>
          </w:p>
        </w:tc>
      </w:tr>
      <w:tr>
        <w:tc>
          <w:tcPr>
            <w:tcW w:type="dxa" w:w="1800"/>
            <w:shd w:fill="FFFDF9"/>
          </w:tcPr>
          <w:p>
            <w:pPr>
              <w:spacing w:after="20"/>
            </w:pPr>
            <w:r>
              <w:rPr>
                <w:sz w:val="17"/>
              </w:rPr>
              <w:t>Blog listing</w:t>
            </w:r>
          </w:p>
        </w:tc>
        <w:tc>
          <w:tcPr>
            <w:tcW w:type="dxa" w:w="3312"/>
            <w:shd w:fill="FFFDF9"/>
          </w:tcPr>
          <w:p>
            <w:pPr>
              <w:spacing w:after="20"/>
            </w:pPr>
            <w:r>
              <w:rPr>
                <w:sz w:val="17"/>
              </w:rPr>
              <w:t>Large lists with no complete page-window control</w:t>
            </w:r>
          </w:p>
        </w:tc>
        <w:tc>
          <w:tcPr>
            <w:tcW w:type="dxa" w:w="4392"/>
            <w:shd w:fill="FFFDF9"/>
          </w:tcPr>
          <w:p>
            <w:pPr>
              <w:spacing w:after="20"/>
            </w:pPr>
            <w:r>
              <w:rPr>
                <w:sz w:val="17"/>
              </w:rPr>
              <w:t>12 posts per page, result range, filters and canonical pagination</w:t>
            </w:r>
          </w:p>
        </w:tc>
      </w:tr>
      <w:tr>
        <w:tc>
          <w:tcPr>
            <w:tcW w:type="dxa" w:w="1800"/>
          </w:tcPr>
          <w:p>
            <w:pPr>
              <w:spacing w:after="20"/>
            </w:pPr>
            <w:r>
              <w:rPr>
                <w:sz w:val="17"/>
              </w:rPr>
              <w:t>Product listing</w:t>
            </w:r>
          </w:p>
        </w:tc>
        <w:tc>
          <w:tcPr>
            <w:tcW w:type="dxa" w:w="3312"/>
          </w:tcPr>
          <w:p>
            <w:pPr>
              <w:spacing w:after="20"/>
            </w:pPr>
            <w:r>
              <w:rPr>
                <w:sz w:val="17"/>
              </w:rPr>
              <w:t>Fixed page size and basic navigation</w:t>
            </w:r>
          </w:p>
        </w:tc>
        <w:tc>
          <w:tcPr>
            <w:tcW w:type="dxa" w:w="4392"/>
          </w:tcPr>
          <w:p>
            <w:pPr>
              <w:spacing w:after="20"/>
            </w:pPr>
            <w:r>
              <w:rPr>
                <w:sz w:val="17"/>
              </w:rPr>
              <w:t>12/24/48 page size, nearby pages, first/last and URL preservation</w:t>
            </w:r>
          </w:p>
        </w:tc>
      </w:tr>
      <w:tr>
        <w:tc>
          <w:tcPr>
            <w:tcW w:type="dxa" w:w="1800"/>
            <w:shd w:fill="FFFDF9"/>
          </w:tcPr>
          <w:p>
            <w:pPr>
              <w:spacing w:after="20"/>
            </w:pPr>
            <w:r>
              <w:rPr>
                <w:sz w:val="17"/>
              </w:rPr>
              <w:t>Quick view</w:t>
            </w:r>
          </w:p>
        </w:tc>
        <w:tc>
          <w:tcPr>
            <w:tcW w:type="dxa" w:w="3312"/>
            <w:shd w:fill="FFFDF9"/>
          </w:tcPr>
          <w:p>
            <w:pPr>
              <w:spacing w:after="20"/>
            </w:pPr>
            <w:r>
              <w:rPr>
                <w:sz w:val="17"/>
              </w:rPr>
              <w:t>Dense modal content could overflow</w:t>
            </w:r>
          </w:p>
        </w:tc>
        <w:tc>
          <w:tcPr>
            <w:tcW w:type="dxa" w:w="4392"/>
            <w:shd w:fill="FFFDF9"/>
          </w:tcPr>
          <w:p>
            <w:pPr>
              <w:spacing w:after="20"/>
            </w:pPr>
            <w:r>
              <w:rPr>
                <w:sz w:val="17"/>
              </w:rPr>
              <w:t>Viewport-bounded, internally scrollable, compact information hierarchy</w:t>
            </w:r>
          </w:p>
        </w:tc>
      </w:tr>
      <w:tr>
        <w:tc>
          <w:tcPr>
            <w:tcW w:type="dxa" w:w="1800"/>
          </w:tcPr>
          <w:p>
            <w:pPr>
              <w:spacing w:after="20"/>
            </w:pPr>
            <w:r>
              <w:rPr>
                <w:sz w:val="17"/>
              </w:rPr>
              <w:t>Package safety</w:t>
            </w:r>
          </w:p>
        </w:tc>
        <w:tc>
          <w:tcPr>
            <w:tcW w:type="dxa" w:w="3312"/>
          </w:tcPr>
          <w:p>
            <w:pPr>
              <w:spacing w:after="20"/>
            </w:pPr>
            <w:r>
              <w:rPr>
                <w:sz w:val="17"/>
              </w:rPr>
              <w:t>Manual review</w:t>
            </w:r>
          </w:p>
        </w:tc>
        <w:tc>
          <w:tcPr>
            <w:tcW w:type="dxa" w:w="4392"/>
          </w:tcPr>
          <w:p>
            <w:pPr>
              <w:spacing w:after="20"/>
            </w:pPr>
            <w:r>
              <w:rPr>
                <w:sz w:val="17"/>
              </w:rPr>
              <w:t>Automated Next, React, React DOM, Prisma and Lucide compatibility check</w:t>
            </w:r>
          </w:p>
        </w:tc>
      </w:tr>
      <w:tr>
        <w:tc>
          <w:tcPr>
            <w:tcW w:type="dxa" w:w="1800"/>
            <w:shd w:fill="FFFDF9"/>
          </w:tcPr>
          <w:p>
            <w:pPr>
              <w:spacing w:after="20"/>
            </w:pPr>
            <w:r>
              <w:rPr>
                <w:sz w:val="17"/>
              </w:rPr>
              <w:t>Lucide icons</w:t>
            </w:r>
          </w:p>
        </w:tc>
        <w:tc>
          <w:tcPr>
            <w:tcW w:type="dxa" w:w="3312"/>
            <w:shd w:fill="FFFDF9"/>
          </w:tcPr>
          <w:p>
            <w:pPr>
              <w:spacing w:after="20"/>
            </w:pPr>
            <w:r>
              <w:rPr>
                <w:sz w:val="17"/>
              </w:rPr>
              <w:t>Known invalid import fixed manually</w:t>
            </w:r>
          </w:p>
        </w:tc>
        <w:tc>
          <w:tcPr>
            <w:tcW w:type="dxa" w:w="4392"/>
            <w:shd w:fill="FFFDF9"/>
          </w:tcPr>
          <w:p>
            <w:pPr>
              <w:spacing w:after="20"/>
            </w:pPr>
            <w:r>
              <w:rPr>
                <w:sz w:val="17"/>
              </w:rPr>
              <w:t>Source scan plus installed-module export validation after npm ci</w:t>
            </w:r>
          </w:p>
        </w:tc>
      </w:tr>
      <w:tr>
        <w:tc>
          <w:tcPr>
            <w:tcW w:type="dxa" w:w="1800"/>
          </w:tcPr>
          <w:p>
            <w:pPr>
              <w:spacing w:after="20"/>
            </w:pPr>
            <w:r>
              <w:rPr>
                <w:sz w:val="17"/>
              </w:rPr>
              <w:t>Version retention</w:t>
            </w:r>
          </w:p>
        </w:tc>
        <w:tc>
          <w:tcPr>
            <w:tcW w:type="dxa" w:w="3312"/>
          </w:tcPr>
          <w:p>
            <w:pPr>
              <w:spacing w:after="20"/>
            </w:pPr>
            <w:r>
              <w:rPr>
                <w:sz w:val="17"/>
              </w:rPr>
              <w:t>Relied on memory and release notes</w:t>
            </w:r>
          </w:p>
        </w:tc>
        <w:tc>
          <w:tcPr>
            <w:tcW w:type="dxa" w:w="4392"/>
          </w:tcPr>
          <w:p>
            <w:pPr>
              <w:spacing w:after="20"/>
            </w:pPr>
            <w:r>
              <w:rPr>
                <w:sz w:val="17"/>
              </w:rPr>
              <w:t>1,266-file V42–V44 continuity union manifest</w:t>
            </w:r>
          </w:p>
        </w:tc>
      </w:tr>
      <w:tr>
        <w:tc>
          <w:tcPr>
            <w:tcW w:type="dxa" w:w="1800"/>
            <w:shd w:fill="FFFDF9"/>
          </w:tcPr>
          <w:p>
            <w:pPr>
              <w:spacing w:after="20"/>
            </w:pPr>
            <w:r>
              <w:rPr>
                <w:sz w:val="17"/>
              </w:rPr>
              <w:t>Guidance</w:t>
            </w:r>
          </w:p>
        </w:tc>
        <w:tc>
          <w:tcPr>
            <w:tcW w:type="dxa" w:w="3312"/>
            <w:shd w:fill="FFFDF9"/>
          </w:tcPr>
          <w:p>
            <w:pPr>
              <w:spacing w:after="20"/>
            </w:pPr>
            <w:r>
              <w:rPr>
                <w:sz w:val="17"/>
              </w:rPr>
              <w:t>Version notes spread across files</w:t>
            </w:r>
          </w:p>
        </w:tc>
        <w:tc>
          <w:tcPr>
            <w:tcW w:type="dxa" w:w="4392"/>
            <w:shd w:fill="FFFDF9"/>
          </w:tcPr>
          <w:p>
            <w:pPr>
              <w:spacing w:after="20"/>
            </w:pPr>
            <w:r>
              <w:rPr>
                <w:sz w:val="17"/>
              </w:rPr>
              <w:t>Public guide centre plus this owner/deployment guidebook</w:t>
            </w:r>
          </w:p>
        </w:tc>
      </w:tr>
    </w:tbl>
    <w:p/>
    <w:p>
      <w:pPr>
        <w:pStyle w:val="Heading2"/>
        <w:keepNext/>
      </w:pPr>
      <w:r>
        <w:t>New public routes</w:t>
      </w:r>
    </w:p>
    <w:p>
      <w:pPr>
        <w:pStyle w:val="ListBullet"/>
        <w:spacing w:after="60"/>
        <w:ind w:left="288"/>
      </w:pPr>
      <w:r>
        <w:t>/platform-guides and fifteen detailed guide pages</w:t>
      </w:r>
    </w:p>
    <w:p>
      <w:pPr>
        <w:pStyle w:val="ListBullet"/>
        <w:spacing w:after="60"/>
        <w:ind w:left="288"/>
      </w:pPr>
      <w:r>
        <w:t>/deployment-readiness</w:t>
      </w:r>
    </w:p>
    <w:p>
      <w:pPr>
        <w:pStyle w:val="ListBullet"/>
        <w:spacing w:after="60"/>
        <w:ind w:left="288"/>
      </w:pPr>
      <w:r>
        <w:t>/version-history</w:t>
      </w:r>
    </w:p>
    <w:p>
      <w:pPr>
        <w:pStyle w:val="ListBullet"/>
        <w:spacing w:after="60"/>
        <w:ind w:left="288"/>
      </w:pPr>
      <w:r>
        <w:t>/platform-status</w:t>
      </w:r>
    </w:p>
    <w:p>
      <w:pPr>
        <w:spacing w:after="120" w:line="278" w:lineRule="auto"/>
      </w:pPr>
      <w:r>
        <w:t>These routes are included in the generated sitemap and linked from the footer. They do not expose private diagnostics or secrets.</w:t>
      </w:r>
    </w:p>
    <w:p>
      <w:r>
        <w:br w:type="page"/>
      </w:r>
    </w:p>
    <w:p>
      <w:pPr>
        <w:keepNext/>
        <w:spacing w:after="80"/>
      </w:pPr>
      <w:r>
        <w:rPr>
          <w:b/>
          <w:color w:val="FF7900"/>
          <w:sz w:val="16"/>
        </w:rPr>
        <w:t>SECTION 3</w:t>
      </w:r>
    </w:p>
    <w:p>
      <w:pPr>
        <w:pStyle w:val="Heading1"/>
        <w:keepNext/>
      </w:pPr>
      <w:r>
        <w:t>Blog pagination</w:t>
      </w:r>
    </w:p>
    <w:p>
      <w:pPr>
        <w:spacing w:after="120" w:line="278" w:lineRule="auto"/>
      </w:pPr>
      <w:r>
        <w:t>The blog listing now requests one page from the data source instead of loading the whole library. The default page size is 12.</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Read URL parameters</w:t>
            </w:r>
          </w:p>
          <w:p>
            <w:pPr>
              <w:spacing w:after="40"/>
            </w:pPr>
            <w:r>
              <w:t>The server reads q, category and page from the request.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Build database conditions</w:t>
            </w:r>
          </w:p>
          <w:p>
            <w:pPr>
              <w:spacing w:after="40"/>
            </w:pPr>
            <w:r>
              <w:t>Published state, category and text-search conditions are applied before counting.</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Count and fetch</w:t>
            </w:r>
          </w:p>
          <w:p>
            <w:pPr>
              <w:spacing w:after="40"/>
            </w:pPr>
            <w:r>
              <w:t>The server counts matching records and fetches only the current page using skip and take.</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Correct invalid pages</w:t>
            </w:r>
          </w:p>
          <w:p>
            <w:pPr>
              <w:spacing w:after="40"/>
            </w:pPr>
            <w:r>
              <w:t>An out-of-range page redirects to the final valid page while preserving filters.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Render navigation</w:t>
            </w:r>
          </w:p>
          <w:p>
            <w:pPr>
              <w:spacing w:after="40"/>
            </w:pPr>
            <w:r>
              <w:t>Previous, next, nearby page numbers and ellipses are generated by the shared pagination utility.</w:t>
            </w:r>
          </w:p>
        </w:tc>
      </w:tr>
    </w:tbl>
    <w:p/>
    <w:p>
      <w:pPr>
        <w:pStyle w:val="Heading2"/>
        <w:keepNext/>
      </w:pPr>
      <w:r>
        <w:t>SEO behaviour</w:t>
      </w:r>
    </w:p>
    <w:p>
      <w:pPr>
        <w:pStyle w:val="ListBullet"/>
        <w:spacing w:after="60"/>
        <w:ind w:left="288"/>
      </w:pPr>
      <w:r>
        <w:t>Page 1 uses the canonical /blog URL.</w:t>
      </w:r>
    </w:p>
    <w:p>
      <w:pPr>
        <w:pStyle w:val="ListBullet"/>
        <w:spacing w:after="60"/>
        <w:ind w:left="288"/>
      </w:pPr>
      <w:r>
        <w:t>Later unfiltered pages use a page-specific canonical query.</w:t>
      </w:r>
    </w:p>
    <w:p>
      <w:pPr>
        <w:pStyle w:val="ListBullet"/>
        <w:spacing w:after="60"/>
        <w:ind w:left="288"/>
      </w:pPr>
      <w:r>
        <w:t>Filtered search pages are noindex, follow to avoid thin or duplicate result pages.</w:t>
      </w:r>
    </w:p>
    <w:p>
      <w:pPr>
        <w:pStyle w:val="ListBullet"/>
        <w:spacing w:after="60"/>
        <w:ind w:left="288"/>
      </w:pPr>
      <w:r>
        <w:t>Article pages remain independent and are not merged into the listing.</w:t>
      </w:r>
    </w:p>
    <w:p>
      <w:pPr>
        <w:pStyle w:val="Heading2"/>
        <w:keepNext/>
      </w:pPr>
      <w:r>
        <w:t>API compatibility</w:t>
      </w:r>
    </w:p>
    <w:p>
      <w:pPr>
        <w:spacing w:after="120" w:line="278" w:lineRule="auto"/>
      </w:pPr>
      <w:r>
        <w:t>Existing callers still receive a plain post array when no pagination parameter is supplied. New callers can request paginated output with page, limit, q, category or paginated=true.</w:t>
      </w:r>
    </w:p>
    <w:p>
      <w:r>
        <w:br w:type="page"/>
      </w:r>
    </w:p>
    <w:p>
      <w:pPr>
        <w:keepNext/>
        <w:spacing w:after="80"/>
      </w:pPr>
      <w:r>
        <w:rPr>
          <w:b/>
          <w:color w:val="FF7900"/>
          <w:sz w:val="16"/>
        </w:rPr>
        <w:t>SECTION 4</w:t>
      </w:r>
    </w:p>
    <w:p>
      <w:pPr>
        <w:pStyle w:val="Heading1"/>
        <w:keepNext/>
      </w:pPr>
      <w:r>
        <w:t>Product pagination, sorting and filters</w:t>
      </w:r>
    </w:p>
    <w:p>
      <w:pPr>
        <w:spacing w:after="120" w:line="278" w:lineRule="auto"/>
      </w:pPr>
      <w:r>
        <w:t>The product listing keeps database-backed filtering and sorting and now supports page sizes of 12, 24 or 48. The selected state remains in the URL so users can share, bookmark and navigate with browser back and forward controls.</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2016"/>
            <w:shd w:fill="082B4D"/>
          </w:tcPr>
          <w:p>
            <w:r>
              <w:rPr>
                <w:b/>
                <w:color w:val="FFFFFF"/>
                <w:sz w:val="18"/>
              </w:rPr>
              <w:t>URL parameter</w:t>
            </w:r>
          </w:p>
        </w:tc>
        <w:tc>
          <w:tcPr>
            <w:tcW w:type="dxa" w:w="3528"/>
            <w:shd w:fill="082B4D"/>
          </w:tcPr>
          <w:p>
            <w:r>
              <w:rPr>
                <w:b/>
                <w:color w:val="FFFFFF"/>
                <w:sz w:val="18"/>
              </w:rPr>
              <w:t>Purpose</w:t>
            </w:r>
          </w:p>
        </w:tc>
        <w:tc>
          <w:tcPr>
            <w:tcW w:type="dxa" w:w="4032"/>
            <w:shd w:fill="082B4D"/>
          </w:tcPr>
          <w:p>
            <w:r>
              <w:rPr>
                <w:b/>
                <w:color w:val="FFFFFF"/>
                <w:sz w:val="18"/>
              </w:rPr>
              <w:t>Example</w:t>
            </w:r>
          </w:p>
        </w:tc>
      </w:tr>
      <w:tr>
        <w:tc>
          <w:tcPr>
            <w:tcW w:type="dxa" w:w="2016"/>
            <w:shd w:fill="FFFDF9"/>
          </w:tcPr>
          <w:p>
            <w:pPr>
              <w:spacing w:after="20"/>
            </w:pPr>
            <w:r>
              <w:rPr>
                <w:sz w:val="17"/>
              </w:rPr>
              <w:t>q</w:t>
            </w:r>
          </w:p>
        </w:tc>
        <w:tc>
          <w:tcPr>
            <w:tcW w:type="dxa" w:w="3528"/>
            <w:shd w:fill="FFFDF9"/>
          </w:tcPr>
          <w:p>
            <w:pPr>
              <w:spacing w:after="20"/>
            </w:pPr>
            <w:r>
              <w:rPr>
                <w:sz w:val="17"/>
              </w:rPr>
              <w:t>Product search term</w:t>
            </w:r>
          </w:p>
        </w:tc>
        <w:tc>
          <w:tcPr>
            <w:tcW w:type="dxa" w:w="4032"/>
            <w:shd w:fill="FFFDF9"/>
          </w:tcPr>
          <w:p>
            <w:pPr>
              <w:spacing w:after="20"/>
            </w:pPr>
            <w:r>
              <w:rPr>
                <w:sz w:val="17"/>
              </w:rPr>
              <w:t>?q=cement</w:t>
            </w:r>
          </w:p>
        </w:tc>
      </w:tr>
      <w:tr>
        <w:tc>
          <w:tcPr>
            <w:tcW w:type="dxa" w:w="2016"/>
          </w:tcPr>
          <w:p>
            <w:pPr>
              <w:spacing w:after="20"/>
            </w:pPr>
            <w:r>
              <w:rPr>
                <w:sz w:val="17"/>
              </w:rPr>
              <w:t>categories</w:t>
            </w:r>
          </w:p>
        </w:tc>
        <w:tc>
          <w:tcPr>
            <w:tcW w:type="dxa" w:w="3528"/>
          </w:tcPr>
          <w:p>
            <w:pPr>
              <w:spacing w:after="20"/>
            </w:pPr>
            <w:r>
              <w:rPr>
                <w:sz w:val="17"/>
              </w:rPr>
              <w:t>Comma-separated categories</w:t>
            </w:r>
          </w:p>
        </w:tc>
        <w:tc>
          <w:tcPr>
            <w:tcW w:type="dxa" w:w="4032"/>
          </w:tcPr>
          <w:p>
            <w:pPr>
              <w:spacing w:after="20"/>
            </w:pPr>
            <w:r>
              <w:rPr>
                <w:sz w:val="17"/>
              </w:rPr>
              <w:t>?categories=Cement,Steel</w:t>
            </w:r>
          </w:p>
        </w:tc>
      </w:tr>
      <w:tr>
        <w:tc>
          <w:tcPr>
            <w:tcW w:type="dxa" w:w="2016"/>
            <w:shd w:fill="FFFDF9"/>
          </w:tcPr>
          <w:p>
            <w:pPr>
              <w:spacing w:after="20"/>
            </w:pPr>
            <w:r>
              <w:rPr>
                <w:sz w:val="17"/>
              </w:rPr>
              <w:t>brand</w:t>
            </w:r>
          </w:p>
        </w:tc>
        <w:tc>
          <w:tcPr>
            <w:tcW w:type="dxa" w:w="3528"/>
            <w:shd w:fill="FFFDF9"/>
          </w:tcPr>
          <w:p>
            <w:pPr>
              <w:spacing w:after="20"/>
            </w:pPr>
            <w:r>
              <w:rPr>
                <w:sz w:val="17"/>
              </w:rPr>
              <w:t>Selected brand</w:t>
            </w:r>
          </w:p>
        </w:tc>
        <w:tc>
          <w:tcPr>
            <w:tcW w:type="dxa" w:w="4032"/>
            <w:shd w:fill="FFFDF9"/>
          </w:tcPr>
          <w:p>
            <w:pPr>
              <w:spacing w:after="20"/>
            </w:pPr>
            <w:r>
              <w:rPr>
                <w:sz w:val="17"/>
              </w:rPr>
              <w:t>?brand=BMN</w:t>
            </w:r>
          </w:p>
        </w:tc>
      </w:tr>
      <w:tr>
        <w:tc>
          <w:tcPr>
            <w:tcW w:type="dxa" w:w="2016"/>
          </w:tcPr>
          <w:p>
            <w:pPr>
              <w:spacing w:after="20"/>
            </w:pPr>
            <w:r>
              <w:rPr>
                <w:sz w:val="17"/>
              </w:rPr>
              <w:t>minPrice / maxPrice</w:t>
            </w:r>
          </w:p>
        </w:tc>
        <w:tc>
          <w:tcPr>
            <w:tcW w:type="dxa" w:w="3528"/>
          </w:tcPr>
          <w:p>
            <w:pPr>
              <w:spacing w:after="20"/>
            </w:pPr>
            <w:r>
              <w:rPr>
                <w:sz w:val="17"/>
              </w:rPr>
              <w:t>Price range</w:t>
            </w:r>
          </w:p>
        </w:tc>
        <w:tc>
          <w:tcPr>
            <w:tcW w:type="dxa" w:w="4032"/>
          </w:tcPr>
          <w:p>
            <w:pPr>
              <w:spacing w:after="20"/>
            </w:pPr>
            <w:r>
              <w:rPr>
                <w:sz w:val="17"/>
              </w:rPr>
              <w:t>?minPrice=500&amp;maxPrice=5000</w:t>
            </w:r>
          </w:p>
        </w:tc>
      </w:tr>
      <w:tr>
        <w:tc>
          <w:tcPr>
            <w:tcW w:type="dxa" w:w="2016"/>
            <w:shd w:fill="FFFDF9"/>
          </w:tcPr>
          <w:p>
            <w:pPr>
              <w:spacing w:after="20"/>
            </w:pPr>
            <w:r>
              <w:rPr>
                <w:sz w:val="17"/>
              </w:rPr>
              <w:t>inStock</w:t>
            </w:r>
          </w:p>
        </w:tc>
        <w:tc>
          <w:tcPr>
            <w:tcW w:type="dxa" w:w="3528"/>
            <w:shd w:fill="FFFDF9"/>
          </w:tcPr>
          <w:p>
            <w:pPr>
              <w:spacing w:after="20"/>
            </w:pPr>
            <w:r>
              <w:rPr>
                <w:sz w:val="17"/>
              </w:rPr>
              <w:t>Availability filter</w:t>
            </w:r>
          </w:p>
        </w:tc>
        <w:tc>
          <w:tcPr>
            <w:tcW w:type="dxa" w:w="4032"/>
            <w:shd w:fill="FFFDF9"/>
          </w:tcPr>
          <w:p>
            <w:pPr>
              <w:spacing w:after="20"/>
            </w:pPr>
            <w:r>
              <w:rPr>
                <w:sz w:val="17"/>
              </w:rPr>
              <w:t>?inStock=true</w:t>
            </w:r>
          </w:p>
        </w:tc>
      </w:tr>
      <w:tr>
        <w:tc>
          <w:tcPr>
            <w:tcW w:type="dxa" w:w="2016"/>
          </w:tcPr>
          <w:p>
            <w:pPr>
              <w:spacing w:after="20"/>
            </w:pPr>
            <w:r>
              <w:rPr>
                <w:sz w:val="17"/>
              </w:rPr>
              <w:t>sort</w:t>
            </w:r>
          </w:p>
        </w:tc>
        <w:tc>
          <w:tcPr>
            <w:tcW w:type="dxa" w:w="3528"/>
          </w:tcPr>
          <w:p>
            <w:pPr>
              <w:spacing w:after="20"/>
            </w:pPr>
            <w:r>
              <w:rPr>
                <w:sz w:val="17"/>
              </w:rPr>
              <w:t>Database sorting mode</w:t>
            </w:r>
          </w:p>
        </w:tc>
        <w:tc>
          <w:tcPr>
            <w:tcW w:type="dxa" w:w="4032"/>
          </w:tcPr>
          <w:p>
            <w:pPr>
              <w:spacing w:after="20"/>
            </w:pPr>
            <w:r>
              <w:rPr>
                <w:sz w:val="17"/>
              </w:rPr>
              <w:t>?sort=price-asc</w:t>
            </w:r>
          </w:p>
        </w:tc>
      </w:tr>
      <w:tr>
        <w:tc>
          <w:tcPr>
            <w:tcW w:type="dxa" w:w="2016"/>
            <w:shd w:fill="FFFDF9"/>
          </w:tcPr>
          <w:p>
            <w:pPr>
              <w:spacing w:after="20"/>
            </w:pPr>
            <w:r>
              <w:rPr>
                <w:sz w:val="17"/>
              </w:rPr>
              <w:t>limit</w:t>
            </w:r>
          </w:p>
        </w:tc>
        <w:tc>
          <w:tcPr>
            <w:tcW w:type="dxa" w:w="3528"/>
            <w:shd w:fill="FFFDF9"/>
          </w:tcPr>
          <w:p>
            <w:pPr>
              <w:spacing w:after="20"/>
            </w:pPr>
            <w:r>
              <w:rPr>
                <w:sz w:val="17"/>
              </w:rPr>
              <w:t>Items per page</w:t>
            </w:r>
          </w:p>
        </w:tc>
        <w:tc>
          <w:tcPr>
            <w:tcW w:type="dxa" w:w="4032"/>
            <w:shd w:fill="FFFDF9"/>
          </w:tcPr>
          <w:p>
            <w:pPr>
              <w:spacing w:after="20"/>
            </w:pPr>
            <w:r>
              <w:rPr>
                <w:sz w:val="17"/>
              </w:rPr>
              <w:t>?limit=24</w:t>
            </w:r>
          </w:p>
        </w:tc>
      </w:tr>
      <w:tr>
        <w:tc>
          <w:tcPr>
            <w:tcW w:type="dxa" w:w="2016"/>
          </w:tcPr>
          <w:p>
            <w:pPr>
              <w:spacing w:after="20"/>
            </w:pPr>
            <w:r>
              <w:rPr>
                <w:sz w:val="17"/>
              </w:rPr>
              <w:t>page</w:t>
            </w:r>
          </w:p>
        </w:tc>
        <w:tc>
          <w:tcPr>
            <w:tcW w:type="dxa" w:w="3528"/>
          </w:tcPr>
          <w:p>
            <w:pPr>
              <w:spacing w:after="20"/>
            </w:pPr>
            <w:r>
              <w:rPr>
                <w:sz w:val="17"/>
              </w:rPr>
              <w:t>Current page</w:t>
            </w:r>
          </w:p>
        </w:tc>
        <w:tc>
          <w:tcPr>
            <w:tcW w:type="dxa" w:w="4032"/>
          </w:tcPr>
          <w:p>
            <w:pPr>
              <w:spacing w:after="20"/>
            </w:pPr>
            <w:r>
              <w:rPr>
                <w:sz w:val="17"/>
              </w:rPr>
              <w:t>?page=3</w:t>
            </w:r>
          </w:p>
        </w:tc>
      </w:tr>
    </w:tbl>
    <w:p/>
    <w:p>
      <w:pPr>
        <w:pStyle w:val="Heading2"/>
        <w:keepNext/>
      </w:pPr>
      <w:r>
        <w:t>User experience rules</w:t>
      </w:r>
    </w:p>
    <w:p>
      <w:pPr>
        <w:pStyle w:val="ListBullet"/>
        <w:spacing w:after="60"/>
        <w:ind w:left="288"/>
      </w:pPr>
      <w:r>
        <w:t>Changing a filter, search term, sort option or page size resets to page 1.</w:t>
      </w:r>
    </w:p>
    <w:p>
      <w:pPr>
        <w:pStyle w:val="ListBullet"/>
        <w:spacing w:after="60"/>
        <w:ind w:left="288"/>
      </w:pPr>
      <w:r>
        <w:t>Changing only the page preserves all other parameters.</w:t>
      </w:r>
    </w:p>
    <w:p>
      <w:pPr>
        <w:pStyle w:val="ListBullet"/>
        <w:spacing w:after="60"/>
        <w:ind w:left="288"/>
      </w:pPr>
      <w:r>
        <w:t>An invalid or excessive page redirects safely.</w:t>
      </w:r>
    </w:p>
    <w:p>
      <w:pPr>
        <w:pStyle w:val="ListBullet"/>
        <w:spacing w:after="60"/>
        <w:ind w:left="288"/>
      </w:pPr>
      <w:r>
        <w:t>The result range states exactly which items are visible.</w:t>
      </w:r>
    </w:p>
    <w:p>
      <w:pPr>
        <w:pStyle w:val="ListBullet"/>
        <w:spacing w:after="60"/>
        <w:ind w:left="288"/>
      </w:pPr>
      <w:r>
        <w:t>Mobile users receive the same state through responsive sorting and filter controls.</w:t>
      </w:r>
    </w:p>
    <w:tbl>
      <w:tblPr>
        <w:tblW w:type="auto" w:w="0"/>
        <w:jc w:val="center"/>
        <w:tblLook w:firstColumn="1" w:firstRow="1" w:lastColumn="0" w:lastRow="0" w:noHBand="0" w:noVBand="1" w:val="04A0"/>
      </w:tblPr>
      <w:tblGrid>
        <w:gridCol w:w="10282"/>
      </w:tblGrid>
      <w:tr>
        <w:tc>
          <w:tcPr>
            <w:tcW w:type="dxa" w:w="10282"/>
            <w:shd w:fill="EAF4F1"/>
            <w:tcBorders>
              <w:top w:val="single" w:sz="10" w:color="08758B"/>
              <w:left w:val="single" w:sz="10" w:color="08758B"/>
              <w:bottom w:val="single" w:sz="10" w:color="08758B"/>
              <w:right w:val="single" w:sz="10" w:color="08758B"/>
            </w:tcBorders>
          </w:tcPr>
          <w:p>
            <w:r>
              <w:rPr>
                <w:b/>
                <w:color w:val="08758B"/>
                <w:sz w:val="22"/>
              </w:rPr>
              <w:t>Performance note</w:t>
            </w:r>
          </w:p>
          <w:p>
            <w:pPr>
              <w:spacing w:after="40"/>
            </w:pPr>
            <w:r>
              <w:t>Pagination helps, but production speed also depends on database indexes, query selection, image optimisation and cache strategy. Validate real data volumes in staging.</w:t>
            </w:r>
          </w:p>
        </w:tc>
      </w:tr>
    </w:tbl>
    <w:p/>
    <w:p>
      <w:r>
        <w:br w:type="page"/>
      </w:r>
    </w:p>
    <w:p>
      <w:pPr>
        <w:keepNext/>
        <w:spacing w:after="80"/>
      </w:pPr>
      <w:r>
        <w:rPr>
          <w:b/>
          <w:color w:val="FF7900"/>
          <w:sz w:val="16"/>
        </w:rPr>
        <w:t>SECTION 5</w:t>
      </w:r>
    </w:p>
    <w:p>
      <w:pPr>
        <w:pStyle w:val="Heading1"/>
        <w:keepNext/>
      </w:pPr>
      <w:r>
        <w:t>Decluttered product quick view</w:t>
      </w:r>
    </w:p>
    <w:p>
      <w:pPr>
        <w:spacing w:after="120" w:line="278" w:lineRule="auto"/>
      </w:pPr>
      <w:r>
        <w:t>Quick view is designed for a fast buying decision, not to replace the full product page. It now follows a strict information hierarchy.</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Identity</w:t>
            </w:r>
          </w:p>
          <w:p>
            <w:pPr>
              <w:spacing w:after="40"/>
            </w:pPr>
            <w:r>
              <w:t>Product name, brand and category.</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Availability</w:t>
            </w:r>
          </w:p>
          <w:p>
            <w:pPr>
              <w:spacing w:after="40"/>
            </w:pPr>
            <w:r>
              <w:t>Stock, installation and verified-supplier badges.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Commercial summary</w:t>
            </w:r>
          </w:p>
          <w:p>
            <w:pPr>
              <w:spacing w:after="40"/>
            </w:pPr>
            <w:r>
              <w:t>Price or request-price status.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Decision details</w:t>
            </w:r>
          </w:p>
          <w:p>
            <w:pPr>
              <w:spacing w:after="40"/>
            </w:pPr>
            <w:r>
              <w:t>Supplier, delivery, unit/stock and rating.</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Short overview</w:t>
            </w:r>
          </w:p>
          <w:p>
            <w:pPr>
              <w:spacing w:after="40"/>
            </w:pPr>
            <w:r>
              <w:t>A limited description and up to three key features.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Primary actions</w:t>
            </w:r>
          </w:p>
          <w:p>
            <w:pPr>
              <w:spacing w:after="40"/>
            </w:pPr>
            <w:r>
              <w:t>Add to cart, full details and request quotation remain visible in the sticky footer.</w:t>
            </w:r>
          </w:p>
        </w:tc>
      </w:tr>
    </w:tbl>
    <w:p/>
    <w:p>
      <w:pPr>
        <w:pStyle w:val="Heading2"/>
        <w:keepNext/>
      </w:pPr>
      <w:r>
        <w:t>Responsive behaviour</w:t>
      </w:r>
    </w:p>
    <w:p>
      <w:pPr>
        <w:pStyle w:val="ListBullet"/>
        <w:spacing w:after="60"/>
        <w:ind w:left="288"/>
      </w:pPr>
      <w:r>
        <w:t>The dialog uses the dynamic viewport height and cannot exceed the screen.</w:t>
      </w:r>
    </w:p>
    <w:p>
      <w:pPr>
        <w:pStyle w:val="ListBullet"/>
        <w:spacing w:after="60"/>
        <w:ind w:left="288"/>
      </w:pPr>
      <w:r>
        <w:t>The content area scrolls internally while the header and action footer stay usable.</w:t>
      </w:r>
    </w:p>
    <w:p>
      <w:pPr>
        <w:pStyle w:val="ListBullet"/>
        <w:spacing w:after="60"/>
        <w:ind w:left="288"/>
      </w:pPr>
      <w:r>
        <w:t>The image uses a safe local fallback when the source fails.</w:t>
      </w:r>
    </w:p>
    <w:p>
      <w:pPr>
        <w:pStyle w:val="ListBullet"/>
        <w:spacing w:after="60"/>
        <w:ind w:left="288"/>
      </w:pPr>
      <w:r>
        <w:t>Mobile layouts stack the image and details.</w:t>
      </w:r>
    </w:p>
    <w:p>
      <w:pPr>
        <w:pStyle w:val="ListBullet"/>
        <w:spacing w:after="60"/>
        <w:ind w:left="288"/>
      </w:pPr>
      <w:r>
        <w:t>Compare and save actions remain available without crowding the title row.</w:t>
      </w:r>
    </w:p>
    <w:p>
      <w:pPr>
        <w:pStyle w:val="ListBullet"/>
        <w:spacing w:after="60"/>
        <w:ind w:left="288"/>
      </w:pPr>
      <w:r>
        <w:t>Focus trapping, Escape close and focus restoration are provided by the dialog component.</w:t>
      </w:r>
    </w:p>
    <w:tbl>
      <w:tblPr>
        <w:tblW w:type="auto" w:w="0"/>
        <w:jc w:val="center"/>
        <w:tblLook w:firstColumn="1" w:firstRow="1" w:lastColumn="0" w:lastRow="0" w:noHBand="0" w:noVBand="1" w:val="04A0"/>
      </w:tblPr>
      <w:tblGrid>
        <w:gridCol w:w="10282"/>
      </w:tblGrid>
      <w:tr>
        <w:tc>
          <w:tcPr>
            <w:tcW w:type="dxa" w:w="10282"/>
            <w:shd w:fill="EAF4F1"/>
            <w:tcBorders>
              <w:top w:val="single" w:sz="10" w:color="08758B"/>
              <w:left w:val="single" w:sz="10" w:color="08758B"/>
              <w:bottom w:val="single" w:sz="10" w:color="08758B"/>
              <w:right w:val="single" w:sz="10" w:color="08758B"/>
            </w:tcBorders>
          </w:tcPr>
          <w:p>
            <w:r>
              <w:rPr>
                <w:b/>
                <w:color w:val="08758B"/>
                <w:sz w:val="22"/>
              </w:rPr>
              <w:t>Do not overload quick view</w:t>
            </w:r>
          </w:p>
          <w:p>
            <w:pPr>
              <w:spacing w:after="40"/>
            </w:pPr>
            <w:r>
              <w:t>Technical documents, full specifications, long reviews, supplier policies and detailed media belong on the complete product page.</w:t>
            </w:r>
          </w:p>
        </w:tc>
      </w:tr>
    </w:tbl>
    <w:p/>
    <w:p>
      <w:r>
        <w:br w:type="page"/>
      </w:r>
    </w:p>
    <w:p>
      <w:pPr>
        <w:keepNext/>
        <w:spacing w:after="80"/>
      </w:pPr>
      <w:r>
        <w:rPr>
          <w:b/>
          <w:color w:val="FF7900"/>
          <w:sz w:val="16"/>
        </w:rPr>
        <w:t>SECTION 6</w:t>
      </w:r>
    </w:p>
    <w:p>
      <w:pPr>
        <w:pStyle w:val="Heading1"/>
        <w:keepNext/>
      </w:pPr>
      <w:r>
        <w:t>How to merge versions without losing changes</w:t>
      </w:r>
    </w:p>
    <w:p>
      <w:pPr>
        <w:spacing w:after="120" w:line="278" w:lineRule="auto"/>
      </w:pPr>
      <w:r>
        <w:t>Version loss usually happens when a developer copies only selected new files onto an older base. V45 replaces that informal process with a repeatable continuity workflow.</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Choose the newest complete base</w:t>
            </w:r>
          </w:p>
          <w:p>
            <w:pPr>
              <w:spacing w:after="40"/>
            </w:pPr>
            <w:r>
              <w:t>Start from the highest version that contains all previous runtime features, not from a partial export.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Keep immutable backups</w:t>
            </w:r>
          </w:p>
          <w:p>
            <w:pPr>
              <w:spacing w:after="40"/>
            </w:pPr>
            <w:r>
              <w:t>Preserve the source ZIP, database backup and media backup before editing.</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Compare recent release folders</w:t>
            </w:r>
          </w:p>
          <w:p>
            <w:pPr>
              <w:spacing w:after="40"/>
            </w:pPr>
            <w:r>
              <w:t>Create the union of application routes, components, libraries, Prisma files, public assets, scripts and configuration.</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Generate a manifest</w:t>
            </w:r>
          </w:p>
          <w:p>
            <w:pPr>
              <w:spacing w:after="40"/>
            </w:pPr>
            <w:r>
              <w:t>Store each required path and the source versions in which it appeared.</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Apply the new upgrade additively</w:t>
            </w:r>
          </w:p>
          <w:p>
            <w:pPr>
              <w:spacing w:after="40"/>
            </w:pPr>
            <w:r>
              <w:t>Modify existing files intentionally and add new files without deleting unrelated modules.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Run continuity checks</w:t>
            </w:r>
          </w:p>
          <w:p>
            <w:pPr>
              <w:spacing w:after="40"/>
            </w:pPr>
            <w:r>
              <w:t>Fail the release when any retained file is missing or empty.</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7</w:t>
            </w:r>
          </w:p>
        </w:tc>
        <w:tc>
          <w:tcPr>
            <w:tcW w:type="dxa" w:w="8784"/>
            <w:shd w:fill="FFFDF9"/>
            <w:tcBorders>
              <w:top w:val="single" w:sz="6" w:color="D9E4E6"/>
              <w:left w:val="single" w:sz="6" w:color="D9E4E6"/>
              <w:bottom w:val="single" w:sz="6" w:color="D9E4E6"/>
              <w:right w:val="single" w:sz="6" w:color="D9E4E6"/>
            </w:tcBorders>
          </w:tcPr>
          <w:p>
            <w:r>
              <w:rPr>
                <w:b/>
                <w:color w:val="082B4D"/>
              </w:rPr>
              <w:t>Run route and link checks</w:t>
            </w:r>
          </w:p>
          <w:p>
            <w:pPr>
              <w:spacing w:after="40"/>
            </w:pPr>
            <w:r>
              <w:t>Confirm that preserved files are still connected and reachable.</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8</w:t>
            </w:r>
          </w:p>
        </w:tc>
        <w:tc>
          <w:tcPr>
            <w:tcW w:type="dxa" w:w="8784"/>
            <w:shd w:fill="FFFDF9"/>
            <w:tcBorders>
              <w:top w:val="single" w:sz="6" w:color="D9E4E6"/>
              <w:left w:val="single" w:sz="6" w:color="D9E4E6"/>
              <w:bottom w:val="single" w:sz="6" w:color="D9E4E6"/>
              <w:right w:val="single" w:sz="6" w:color="D9E4E6"/>
            </w:tcBorders>
          </w:tcPr>
          <w:p>
            <w:r>
              <w:rPr>
                <w:b/>
                <w:color w:val="082B4D"/>
              </w:rPr>
              <w:t>Document intentional removals</w:t>
            </w:r>
          </w:p>
          <w:p>
            <w:pPr>
              <w:spacing w:after="40"/>
            </w:pPr>
            <w:r>
              <w:t>Remove a manifest entry only after review, migration planning and written approval.</w:t>
            </w:r>
          </w:p>
        </w:tc>
      </w:tr>
    </w:tbl>
    <w:p/>
    <w:p>
      <w:pPr>
        <w:pStyle w:val="Heading2"/>
        <w:keepNext/>
      </w:pPr>
      <w:r>
        <w:t>V45 implementation</w:t>
      </w:r>
    </w:p>
    <w:p>
      <w:pPr>
        <w:spacing w:after="120" w:line="278" w:lineRule="auto"/>
      </w:pPr>
      <w:r>
        <w:t>The file scripts/version-union-manifest-v42-v44.json contains the accessible runtime union. Run npm run verify:continuity before every release.</w:t>
      </w:r>
    </w:p>
    <w:tbl>
      <w:tblPr>
        <w:tblStyle w:val="TableGrid"/>
        <w:tblW w:type="auto" w:w="0"/>
        <w:jc w:val="center"/>
        <w:tblLook w:firstColumn="1" w:firstRow="1" w:lastColumn="0" w:lastRow="0" w:noHBand="0" w:noVBand="1" w:val="04A0"/>
      </w:tblPr>
      <w:tblGrid>
        <w:gridCol w:w="5141"/>
        <w:gridCol w:w="5141"/>
      </w:tblGrid>
      <w:tr>
        <w:trPr>
          <w:tblHeader w:val="true"/>
        </w:trPr>
        <w:tc>
          <w:tcPr>
            <w:tcW w:type="dxa" w:w="4680"/>
            <w:shd w:fill="082B4D"/>
          </w:tcPr>
          <w:p>
            <w:r>
              <w:rPr>
                <w:b/>
                <w:color w:val="FFFFFF"/>
                <w:sz w:val="18"/>
              </w:rPr>
              <w:t>Included</w:t>
            </w:r>
          </w:p>
        </w:tc>
        <w:tc>
          <w:tcPr>
            <w:tcW w:type="dxa" w:w="4680"/>
            <w:shd w:fill="082B4D"/>
          </w:tcPr>
          <w:p>
            <w:r>
              <w:rPr>
                <w:b/>
                <w:color w:val="FFFFFF"/>
                <w:sz w:val="18"/>
              </w:rPr>
              <w:t>Excluded intentionally</w:t>
            </w:r>
          </w:p>
        </w:tc>
      </w:tr>
      <w:tr>
        <w:tc>
          <w:tcPr>
            <w:tcW w:type="dxa" w:w="4680"/>
            <w:shd w:fill="FFFDF9"/>
          </w:tcPr>
          <w:p>
            <w:pPr>
              <w:spacing w:after="20"/>
            </w:pPr>
            <w:r>
              <w:rPr>
                <w:sz w:val="17"/>
              </w:rPr>
              <w:t>App and API routes</w:t>
            </w:r>
          </w:p>
        </w:tc>
        <w:tc>
          <w:tcPr>
            <w:tcW w:type="dxa" w:w="4680"/>
            <w:shd w:fill="FFFDF9"/>
          </w:tcPr>
          <w:p>
            <w:pPr>
              <w:spacing w:after="20"/>
            </w:pPr>
            <w:r>
              <w:rPr>
                <w:sz w:val="17"/>
              </w:rPr>
              <w:t>Old ZIP archives</w:t>
            </w:r>
          </w:p>
        </w:tc>
      </w:tr>
      <w:tr>
        <w:tc>
          <w:tcPr>
            <w:tcW w:type="dxa" w:w="4680"/>
          </w:tcPr>
          <w:p>
            <w:pPr>
              <w:spacing w:after="20"/>
            </w:pPr>
            <w:r>
              <w:rPr>
                <w:sz w:val="17"/>
              </w:rPr>
              <w:t>Web and mobile components</w:t>
            </w:r>
          </w:p>
        </w:tc>
        <w:tc>
          <w:tcPr>
            <w:tcW w:type="dxa" w:w="4680"/>
          </w:tcPr>
          <w:p>
            <w:pPr>
              <w:spacing w:after="20"/>
            </w:pPr>
            <w:r>
              <w:rPr>
                <w:sz w:val="17"/>
              </w:rPr>
              <w:t>Generated screenshots</w:t>
            </w:r>
          </w:p>
        </w:tc>
      </w:tr>
      <w:tr>
        <w:tc>
          <w:tcPr>
            <w:tcW w:type="dxa" w:w="4680"/>
            <w:shd w:fill="FFFDF9"/>
          </w:tcPr>
          <w:p>
            <w:pPr>
              <w:spacing w:after="20"/>
            </w:pPr>
            <w:r>
              <w:rPr>
                <w:sz w:val="17"/>
              </w:rPr>
              <w:t>Prisma schema and migrations</w:t>
            </w:r>
          </w:p>
        </w:tc>
        <w:tc>
          <w:tcPr>
            <w:tcW w:type="dxa" w:w="4680"/>
            <w:shd w:fill="FFFDF9"/>
          </w:tcPr>
          <w:p>
            <w:pPr>
              <w:spacing w:after="20"/>
            </w:pPr>
            <w:r>
              <w:rPr>
                <w:sz w:val="17"/>
              </w:rPr>
              <w:t>Historical validation output</w:t>
            </w:r>
          </w:p>
        </w:tc>
      </w:tr>
      <w:tr>
        <w:tc>
          <w:tcPr>
            <w:tcW w:type="dxa" w:w="4680"/>
          </w:tcPr>
          <w:p>
            <w:pPr>
              <w:spacing w:after="20"/>
            </w:pPr>
            <w:r>
              <w:rPr>
                <w:sz w:val="17"/>
              </w:rPr>
              <w:t>Libraries, constants and data</w:t>
            </w:r>
          </w:p>
        </w:tc>
        <w:tc>
          <w:tcPr>
            <w:tcW w:type="dxa" w:w="4680"/>
          </w:tcPr>
          <w:p>
            <w:pPr>
              <w:spacing w:after="20"/>
            </w:pPr>
            <w:r>
              <w:rPr>
                <w:sz w:val="17"/>
              </w:rPr>
              <w:t>Temporary QA render folders</w:t>
            </w:r>
          </w:p>
        </w:tc>
      </w:tr>
      <w:tr>
        <w:tc>
          <w:tcPr>
            <w:tcW w:type="dxa" w:w="4680"/>
            <w:shd w:fill="FFFDF9"/>
          </w:tcPr>
          <w:p>
            <w:pPr>
              <w:spacing w:after="20"/>
            </w:pPr>
            <w:r>
              <w:rPr>
                <w:sz w:val="17"/>
              </w:rPr>
              <w:t>Public runtime assets</w:t>
            </w:r>
          </w:p>
        </w:tc>
        <w:tc>
          <w:tcPr>
            <w:tcW w:type="dxa" w:w="4680"/>
            <w:shd w:fill="FFFDF9"/>
          </w:tcPr>
          <w:p>
            <w:pPr>
              <w:spacing w:after="20"/>
            </w:pPr>
            <w:r>
              <w:rPr>
                <w:sz w:val="17"/>
              </w:rPr>
              <w:t>Version-specific checksums</w:t>
            </w:r>
          </w:p>
        </w:tc>
      </w:tr>
      <w:tr>
        <w:tc>
          <w:tcPr>
            <w:tcW w:type="dxa" w:w="4680"/>
          </w:tcPr>
          <w:p>
            <w:pPr>
              <w:spacing w:after="20"/>
            </w:pPr>
            <w:r>
              <w:rPr>
                <w:sz w:val="17"/>
              </w:rPr>
              <w:t>Primary configuration and scripts</w:t>
            </w:r>
          </w:p>
        </w:tc>
        <w:tc>
          <w:tcPr>
            <w:tcW w:type="dxa" w:w="4680"/>
          </w:tcPr>
          <w:p>
            <w:pPr>
              <w:spacing w:after="20"/>
            </w:pPr>
            <w:r>
              <w:rPr>
                <w:sz w:val="17"/>
              </w:rPr>
              <w:t>node_modules and build output</w:t>
            </w:r>
          </w:p>
        </w:tc>
      </w:tr>
    </w:tbl>
    <w:p/>
    <w:p>
      <w:r>
        <w:br w:type="page"/>
      </w:r>
    </w:p>
    <w:p>
      <w:pPr>
        <w:keepNext/>
        <w:spacing w:after="80"/>
      </w:pPr>
      <w:r>
        <w:rPr>
          <w:b/>
          <w:color w:val="FF7900"/>
          <w:sz w:val="16"/>
        </w:rPr>
        <w:t>SECTION 7</w:t>
      </w:r>
    </w:p>
    <w:p>
      <w:pPr>
        <w:pStyle w:val="Heading1"/>
        <w:keepNext/>
      </w:pPr>
      <w:r>
        <w:t>Package, React and Lucide compatibility</w:t>
      </w:r>
    </w:p>
    <w:p>
      <w:pPr>
        <w:spacing w:after="120" w:line="278" w:lineRule="auto"/>
      </w:pPr>
      <w:r>
        <w:t>V45 keeps the package set that is already represented by the exact root lockfile. React and React DOM remain aligned at 18.3.1. Next.js remains 15.5.12. Lucide React is pinned to 0.372.0 rather than using an open caret range.</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2088"/>
            <w:shd w:fill="082B4D"/>
          </w:tcPr>
          <w:p>
            <w:r>
              <w:rPr>
                <w:b/>
                <w:color w:val="FFFFFF"/>
                <w:sz w:val="18"/>
              </w:rPr>
              <w:t>Package</w:t>
            </w:r>
          </w:p>
        </w:tc>
        <w:tc>
          <w:tcPr>
            <w:tcW w:type="dxa" w:w="2232"/>
            <w:shd w:fill="082B4D"/>
          </w:tcPr>
          <w:p>
            <w:r>
              <w:rPr>
                <w:b/>
                <w:color w:val="FFFFFF"/>
                <w:sz w:val="18"/>
              </w:rPr>
              <w:t>V45 declaration</w:t>
            </w:r>
          </w:p>
        </w:tc>
        <w:tc>
          <w:tcPr>
            <w:tcW w:type="dxa" w:w="4968"/>
            <w:shd w:fill="082B4D"/>
          </w:tcPr>
          <w:p>
            <w:r>
              <w:rPr>
                <w:b/>
                <w:color w:val="FFFFFF"/>
                <w:sz w:val="18"/>
              </w:rPr>
              <w:t>Verification</w:t>
            </w:r>
          </w:p>
        </w:tc>
      </w:tr>
      <w:tr>
        <w:tc>
          <w:tcPr>
            <w:tcW w:type="dxa" w:w="2088"/>
            <w:shd w:fill="FFFDF9"/>
          </w:tcPr>
          <w:p>
            <w:pPr>
              <w:spacing w:after="20"/>
            </w:pPr>
            <w:r>
              <w:rPr>
                <w:sz w:val="17"/>
              </w:rPr>
              <w:t>Next.js</w:t>
            </w:r>
          </w:p>
        </w:tc>
        <w:tc>
          <w:tcPr>
            <w:tcW w:type="dxa" w:w="2232"/>
            <w:shd w:fill="FFFDF9"/>
          </w:tcPr>
          <w:p>
            <w:pPr>
              <w:spacing w:after="20"/>
            </w:pPr>
            <w:r>
              <w:rPr>
                <w:sz w:val="17"/>
              </w:rPr>
              <w:t>15.5.12</w:t>
            </w:r>
          </w:p>
        </w:tc>
        <w:tc>
          <w:tcPr>
            <w:tcW w:type="dxa" w:w="4968"/>
            <w:shd w:fill="FFFDF9"/>
          </w:tcPr>
          <w:p>
            <w:pPr>
              <w:spacing w:after="20"/>
            </w:pPr>
            <w:r>
              <w:rPr>
                <w:sz w:val="17"/>
              </w:rPr>
              <w:t>Pinned to lockfile; peer range checked</w:t>
            </w:r>
          </w:p>
        </w:tc>
      </w:tr>
      <w:tr>
        <w:tc>
          <w:tcPr>
            <w:tcW w:type="dxa" w:w="2088"/>
          </w:tcPr>
          <w:p>
            <w:pPr>
              <w:spacing w:after="20"/>
            </w:pPr>
            <w:r>
              <w:rPr>
                <w:sz w:val="17"/>
              </w:rPr>
              <w:t>React</w:t>
            </w:r>
          </w:p>
        </w:tc>
        <w:tc>
          <w:tcPr>
            <w:tcW w:type="dxa" w:w="2232"/>
          </w:tcPr>
          <w:p>
            <w:pPr>
              <w:spacing w:after="20"/>
            </w:pPr>
            <w:r>
              <w:rPr>
                <w:sz w:val="17"/>
              </w:rPr>
              <w:t>18.3.1</w:t>
            </w:r>
          </w:p>
        </w:tc>
        <w:tc>
          <w:tcPr>
            <w:tcW w:type="dxa" w:w="4968"/>
          </w:tcPr>
          <w:p>
            <w:pPr>
              <w:spacing w:after="20"/>
            </w:pPr>
            <w:r>
              <w:rPr>
                <w:sz w:val="17"/>
              </w:rPr>
              <w:t>Matches React DOM and Next peer range</w:t>
            </w:r>
          </w:p>
        </w:tc>
      </w:tr>
      <w:tr>
        <w:tc>
          <w:tcPr>
            <w:tcW w:type="dxa" w:w="2088"/>
            <w:shd w:fill="FFFDF9"/>
          </w:tcPr>
          <w:p>
            <w:pPr>
              <w:spacing w:after="20"/>
            </w:pPr>
            <w:r>
              <w:rPr>
                <w:sz w:val="17"/>
              </w:rPr>
              <w:t>React DOM</w:t>
            </w:r>
          </w:p>
        </w:tc>
        <w:tc>
          <w:tcPr>
            <w:tcW w:type="dxa" w:w="2232"/>
            <w:shd w:fill="FFFDF9"/>
          </w:tcPr>
          <w:p>
            <w:pPr>
              <w:spacing w:after="20"/>
            </w:pPr>
            <w:r>
              <w:rPr>
                <w:sz w:val="17"/>
              </w:rPr>
              <w:t>18.3.1</w:t>
            </w:r>
          </w:p>
        </w:tc>
        <w:tc>
          <w:tcPr>
            <w:tcW w:type="dxa" w:w="4968"/>
            <w:shd w:fill="FFFDF9"/>
          </w:tcPr>
          <w:p>
            <w:pPr>
              <w:spacing w:after="20"/>
            </w:pPr>
            <w:r>
              <w:rPr>
                <w:sz w:val="17"/>
              </w:rPr>
              <w:t>Matches React and Next peer range</w:t>
            </w:r>
          </w:p>
        </w:tc>
      </w:tr>
      <w:tr>
        <w:tc>
          <w:tcPr>
            <w:tcW w:type="dxa" w:w="2088"/>
          </w:tcPr>
          <w:p>
            <w:pPr>
              <w:spacing w:after="20"/>
            </w:pPr>
            <w:r>
              <w:rPr>
                <w:sz w:val="17"/>
              </w:rPr>
              <w:t>lucide-react</w:t>
            </w:r>
          </w:p>
        </w:tc>
        <w:tc>
          <w:tcPr>
            <w:tcW w:type="dxa" w:w="2232"/>
          </w:tcPr>
          <w:p>
            <w:pPr>
              <w:spacing w:after="20"/>
            </w:pPr>
            <w:r>
              <w:rPr>
                <w:sz w:val="17"/>
              </w:rPr>
              <w:t>0.372.0</w:t>
            </w:r>
          </w:p>
        </w:tc>
        <w:tc>
          <w:tcPr>
            <w:tcW w:type="dxa" w:w="4968"/>
          </w:tcPr>
          <w:p>
            <w:pPr>
              <w:spacing w:after="20"/>
            </w:pPr>
            <w:r>
              <w:rPr>
                <w:sz w:val="17"/>
              </w:rPr>
              <w:t>Pinned and checked against React peer range</w:t>
            </w:r>
          </w:p>
        </w:tc>
      </w:tr>
      <w:tr>
        <w:tc>
          <w:tcPr>
            <w:tcW w:type="dxa" w:w="2088"/>
            <w:shd w:fill="FFFDF9"/>
          </w:tcPr>
          <w:p>
            <w:pPr>
              <w:spacing w:after="20"/>
            </w:pPr>
            <w:r>
              <w:rPr>
                <w:sz w:val="17"/>
              </w:rPr>
              <w:t>@prisma/client</w:t>
            </w:r>
          </w:p>
        </w:tc>
        <w:tc>
          <w:tcPr>
            <w:tcW w:type="dxa" w:w="2232"/>
            <w:shd w:fill="FFFDF9"/>
          </w:tcPr>
          <w:p>
            <w:pPr>
              <w:spacing w:after="20"/>
            </w:pPr>
            <w:r>
              <w:rPr>
                <w:sz w:val="17"/>
              </w:rPr>
              <w:t>6.19.2</w:t>
            </w:r>
          </w:p>
        </w:tc>
        <w:tc>
          <w:tcPr>
            <w:tcW w:type="dxa" w:w="4968"/>
            <w:shd w:fill="FFFDF9"/>
          </w:tcPr>
          <w:p>
            <w:pPr>
              <w:spacing w:after="20"/>
            </w:pPr>
            <w:r>
              <w:rPr>
                <w:sz w:val="17"/>
              </w:rPr>
              <w:t>Pinned to generated client package</w:t>
            </w:r>
          </w:p>
        </w:tc>
      </w:tr>
      <w:tr>
        <w:tc>
          <w:tcPr>
            <w:tcW w:type="dxa" w:w="2088"/>
          </w:tcPr>
          <w:p>
            <w:pPr>
              <w:spacing w:after="20"/>
            </w:pPr>
            <w:r>
              <w:rPr>
                <w:sz w:val="17"/>
              </w:rPr>
              <w:t>Prisma CLI</w:t>
            </w:r>
          </w:p>
        </w:tc>
        <w:tc>
          <w:tcPr>
            <w:tcW w:type="dxa" w:w="2232"/>
          </w:tcPr>
          <w:p>
            <w:pPr>
              <w:spacing w:after="20"/>
            </w:pPr>
            <w:r>
              <w:rPr>
                <w:sz w:val="17"/>
              </w:rPr>
              <w:t>6.19.2</w:t>
            </w:r>
          </w:p>
        </w:tc>
        <w:tc>
          <w:tcPr>
            <w:tcW w:type="dxa" w:w="4968"/>
          </w:tcPr>
          <w:p>
            <w:pPr>
              <w:spacing w:after="20"/>
            </w:pPr>
            <w:r>
              <w:rPr>
                <w:sz w:val="17"/>
              </w:rPr>
              <w:t>Matches @prisma/client</w:t>
            </w:r>
          </w:p>
        </w:tc>
      </w:tr>
    </w:tbl>
    <w:p/>
    <w:p>
      <w:pPr>
        <w:pStyle w:val="Heading2"/>
        <w:keepNext/>
      </w:pPr>
      <w:r>
        <w:t>Preventing icon build errors</w:t>
      </w:r>
    </w:p>
    <w:p>
      <w:pPr>
        <w:spacing w:after="120" w:line="278" w:lineRule="auto"/>
      </w:pPr>
      <w:r>
        <w:t>Lucide icons are named exports. An icon name that does not exist in the installed package causes a static build error. V45 scans all Lucide named imports, explicitly blocks ChartNoAxesCombined and, after npm ci, compares every imported name with the installed module exports.</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Before installation</w:t>
            </w:r>
          </w:p>
          <w:p>
            <w:pPr>
              <w:spacing w:after="40"/>
            </w:pPr>
            <w:r>
              <w:t>Run npm run verify:lucide to detect forbidden known imports.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After installation</w:t>
            </w:r>
          </w:p>
          <w:p>
            <w:pPr>
              <w:spacing w:after="40"/>
            </w:pPr>
            <w:r>
              <w:t>Run the same command again to verify every named export against node_modules.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When adding an icon</w:t>
            </w:r>
          </w:p>
          <w:p>
            <w:pPr>
              <w:spacing w:after="40"/>
            </w:pPr>
            <w:r>
              <w:t>Confirm the exact exported name in the installed package or use an existing verified icon.</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After package updates</w:t>
            </w:r>
          </w:p>
          <w:p>
            <w:pPr>
              <w:spacing w:after="40"/>
            </w:pPr>
            <w:r>
              <w:t>Regenerate the lockfile with the selected package manager and rerun compatibility and build checks.</w:t>
            </w:r>
          </w:p>
        </w:tc>
      </w:tr>
    </w:tbl>
    <w:p/>
    <w:tbl>
      <w:tblPr>
        <w:tblW w:type="auto" w:w="0"/>
        <w:jc w:val="center"/>
        <w:tblLook w:firstColumn="1" w:firstRow="1" w:lastColumn="0" w:lastRow="0" w:noHBand="0" w:noVBand="1" w:val="04A0"/>
      </w:tblPr>
      <w:tblGrid>
        <w:gridCol w:w="10282"/>
      </w:tblGrid>
      <w:tr>
        <w:tc>
          <w:tcPr>
            <w:tcW w:type="dxa" w:w="10282"/>
            <w:shd w:fill="FFF9F0"/>
            <w:tcBorders>
              <w:top w:val="single" w:sz="10" w:color="FF7900"/>
              <w:left w:val="single" w:sz="10" w:color="FF7900"/>
              <w:bottom w:val="single" w:sz="10" w:color="FF7900"/>
              <w:right w:val="single" w:sz="10" w:color="FF7900"/>
            </w:tcBorders>
          </w:tcPr>
          <w:p>
            <w:r>
              <w:rPr>
                <w:b/>
                <w:color w:val="FF7900"/>
                <w:sz w:val="22"/>
              </w:rPr>
              <w:t>One package manager only</w:t>
            </w:r>
          </w:p>
          <w:p>
            <w:pPr>
              <w:spacing w:after="40"/>
            </w:pPr>
            <w:r>
              <w:t>Keep package.json and package-lock.json in the repository root. Do not add Yarn, pnpm or Bun lockfiles to this project.</w:t>
            </w:r>
          </w:p>
        </w:tc>
      </w:tr>
    </w:tbl>
    <w:p/>
    <w:p>
      <w:r>
        <w:br w:type="page"/>
      </w:r>
    </w:p>
    <w:p>
      <w:pPr>
        <w:keepNext/>
        <w:spacing w:after="80"/>
      </w:pPr>
      <w:r>
        <w:rPr>
          <w:b/>
          <w:color w:val="FF7900"/>
          <w:sz w:val="16"/>
        </w:rPr>
        <w:t>SECTION 8</w:t>
      </w:r>
    </w:p>
    <w:p>
      <w:pPr>
        <w:pStyle w:val="Heading1"/>
        <w:keepNext/>
      </w:pPr>
      <w:r>
        <w:t>Deploying V45 to Vercel</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Create a release branch</w:t>
            </w:r>
          </w:p>
          <w:p>
            <w:pPr>
              <w:spacing w:after="40"/>
            </w:pPr>
            <w:r>
              <w:t>Commit the V45 source, package.json, package-lock.json and migration files together.</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Create a staging Vercel project</w:t>
            </w:r>
          </w:p>
          <w:p>
            <w:pPr>
              <w:spacing w:after="40"/>
            </w:pPr>
            <w:r>
              <w:t>Use the repository root as the root directory and choose the Next.js framework preset.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Add environment variables</w:t>
            </w:r>
          </w:p>
          <w:p>
            <w:pPr>
              <w:spacing w:after="40"/>
            </w:pPr>
            <w:r>
              <w:t>Use Vercel project settings. Never put live secrets into Git.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Prepare the database</w:t>
            </w:r>
          </w:p>
          <w:p>
            <w:pPr>
              <w:spacing w:after="40"/>
            </w:pPr>
            <w:r>
              <w:t>Back up production, test migrations in staging and run prisma migrate deploy.</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Run pre-deployment verification</w:t>
            </w:r>
          </w:p>
          <w:p>
            <w:pPr>
              <w:spacing w:after="40"/>
            </w:pPr>
            <w:r>
              <w:t>Complete package, Lucide, continuity, route, link, sitemap, type and build checks.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Deploy to staging</w:t>
            </w:r>
          </w:p>
          <w:p>
            <w:pPr>
              <w:spacing w:after="40"/>
            </w:pPr>
            <w:r>
              <w:t>Use the supplied vercel.json install and build commands.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7</w:t>
            </w:r>
          </w:p>
        </w:tc>
        <w:tc>
          <w:tcPr>
            <w:tcW w:type="dxa" w:w="8784"/>
            <w:shd w:fill="FFFDF9"/>
            <w:tcBorders>
              <w:top w:val="single" w:sz="6" w:color="D9E4E6"/>
              <w:left w:val="single" w:sz="6" w:color="D9E4E6"/>
              <w:bottom w:val="single" w:sz="6" w:color="D9E4E6"/>
              <w:right w:val="single" w:sz="6" w:color="D9E4E6"/>
            </w:tcBorders>
          </w:tcPr>
          <w:p>
            <w:r>
              <w:rPr>
                <w:b/>
                <w:color w:val="082B4D"/>
              </w:rPr>
              <w:t>Complete smoke tests</w:t>
            </w:r>
          </w:p>
          <w:p>
            <w:pPr>
              <w:spacing w:after="40"/>
            </w:pPr>
            <w:r>
              <w:t>Test public, authenticated, admin, payment, email, storage and mobile workflows.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8</w:t>
            </w:r>
          </w:p>
        </w:tc>
        <w:tc>
          <w:tcPr>
            <w:tcW w:type="dxa" w:w="8784"/>
            <w:shd w:fill="FFFDF9"/>
            <w:tcBorders>
              <w:top w:val="single" w:sz="6" w:color="D9E4E6"/>
              <w:left w:val="single" w:sz="6" w:color="D9E4E6"/>
              <w:bottom w:val="single" w:sz="6" w:color="D9E4E6"/>
              <w:right w:val="single" w:sz="6" w:color="D9E4E6"/>
            </w:tcBorders>
          </w:tcPr>
          <w:p>
            <w:r>
              <w:rPr>
                <w:b/>
                <w:color w:val="082B4D"/>
              </w:rPr>
              <w:t>Promote to production</w:t>
            </w:r>
          </w:p>
          <w:p>
            <w:pPr>
              <w:spacing w:after="40"/>
            </w:pPr>
            <w:r>
              <w:t>Promote only after approval and preserve the previous healthy deployment for rollback.</w:t>
            </w:r>
          </w:p>
        </w:tc>
      </w:tr>
    </w:tbl>
    <w:p/>
    <w:p>
      <w:pPr>
        <w:pStyle w:val="Heading2"/>
        <w:keepNext/>
      </w:pPr>
      <w:r>
        <w:t>Commands</w:t>
      </w:r>
    </w:p>
    <w:tbl>
      <w:tblPr>
        <w:tblW w:type="auto" w:w="0"/>
        <w:tblLook w:firstColumn="1" w:firstRow="1" w:lastColumn="0" w:lastRow="0" w:noHBand="0" w:noVBand="1" w:val="04A0"/>
      </w:tblPr>
      <w:tblGrid>
        <w:gridCol w:w="10282"/>
      </w:tblGrid>
      <w:tr>
        <w:tc>
          <w:tcPr>
            <w:tcW w:type="dxa" w:w="10282"/>
            <w:shd w:fill="102E45"/>
            <w:tcBorders>
              <w:top w:val="single" w:sz="6" w:color="102E45"/>
              <w:left w:val="single" w:sz="6" w:color="102E45"/>
              <w:bottom w:val="single" w:sz="6" w:color="102E45"/>
              <w:right w:val="single" w:sz="6" w:color="102E45"/>
            </w:tcBorders>
          </w:tcPr>
          <w:p>
            <w:r>
              <w:rPr>
                <w:rFonts w:ascii="Consolas" w:hAnsi="Consolas"/>
                <w:color w:val="FFFFFF"/>
                <w:sz w:val="18"/>
              </w:rPr>
              <w:t>npm ci</w:t>
              <w:br/>
              <w:t>npm run verify:deploy</w:t>
              <w:br/>
              <w:t>npx prisma generate</w:t>
              <w:br/>
              <w:t>npx prisma migrate deploy</w:t>
              <w:br/>
              <w:t>npm run typecheck</w:t>
              <w:br/>
              <w:t>npm run build:vercel</w:t>
            </w:r>
          </w:p>
        </w:tc>
      </w:tr>
    </w:tbl>
    <w:p/>
    <w:p>
      <w:pPr>
        <w:pStyle w:val="Heading2"/>
        <w:keepNext/>
      </w:pPr>
      <w:r>
        <w:t>What Vercel reads</w:t>
      </w:r>
    </w:p>
    <w:p>
      <w:pPr>
        <w:pStyle w:val="ListBullet"/>
        <w:spacing w:after="60"/>
        <w:ind w:left="288"/>
      </w:pPr>
      <w:r>
        <w:t>The root package-lock determines npm installation.</w:t>
      </w:r>
    </w:p>
    <w:p>
      <w:pPr>
        <w:pStyle w:val="ListBullet"/>
        <w:spacing w:after="60"/>
        <w:ind w:left="288"/>
      </w:pPr>
      <w:r>
        <w:t>vercel.json supplies deterministic install and build commands.</w:t>
      </w:r>
    </w:p>
    <w:p>
      <w:pPr>
        <w:pStyle w:val="ListBullet"/>
        <w:spacing w:after="60"/>
        <w:ind w:left="288"/>
      </w:pPr>
      <w:r>
        <w:t>The build script generates Prisma Client before compiling Next.js.</w:t>
      </w:r>
    </w:p>
    <w:p>
      <w:pPr>
        <w:pStyle w:val="ListBullet"/>
        <w:spacing w:after="60"/>
        <w:ind w:left="288"/>
      </w:pPr>
      <w:r>
        <w:t>Environment variables come from Vercel settings, not from committed production files.</w:t>
      </w:r>
    </w:p>
    <w:p>
      <w:r>
        <w:br w:type="page"/>
      </w:r>
    </w:p>
    <w:p>
      <w:pPr>
        <w:keepNext/>
        <w:spacing w:after="80"/>
      </w:pPr>
      <w:r>
        <w:rPr>
          <w:b/>
          <w:color w:val="FF7900"/>
          <w:sz w:val="16"/>
        </w:rPr>
        <w:t>SECTION 9</w:t>
      </w:r>
    </w:p>
    <w:p>
      <w:pPr>
        <w:pStyle w:val="Heading1"/>
        <w:keepNext/>
      </w:pPr>
      <w:r>
        <w:t>Environment and database safety</w:t>
      </w:r>
    </w:p>
    <w:p>
      <w:pPr>
        <w:spacing w:after="120" w:line="278" w:lineRule="auto"/>
      </w:pPr>
      <w:r>
        <w:t>Use the project example files as a checklist. Actual variable names may differ by provider, so confirm them against the code before production launch.</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1872"/>
            <w:shd w:fill="082B4D"/>
          </w:tcPr>
          <w:p>
            <w:r>
              <w:rPr>
                <w:b/>
                <w:color w:val="FFFFFF"/>
                <w:sz w:val="18"/>
              </w:rPr>
              <w:t>Area</w:t>
            </w:r>
          </w:p>
        </w:tc>
        <w:tc>
          <w:tcPr>
            <w:tcW w:type="dxa" w:w="3672"/>
            <w:shd w:fill="082B4D"/>
          </w:tcPr>
          <w:p>
            <w:r>
              <w:rPr>
                <w:b/>
                <w:color w:val="FFFFFF"/>
                <w:sz w:val="18"/>
              </w:rPr>
              <w:t>Typical configuration</w:t>
            </w:r>
          </w:p>
        </w:tc>
        <w:tc>
          <w:tcPr>
            <w:tcW w:type="dxa" w:w="3816"/>
            <w:shd w:fill="082B4D"/>
          </w:tcPr>
          <w:p>
            <w:r>
              <w:rPr>
                <w:b/>
                <w:color w:val="FFFFFF"/>
                <w:sz w:val="18"/>
              </w:rPr>
              <w:t>Production rule</w:t>
            </w:r>
          </w:p>
        </w:tc>
      </w:tr>
      <w:tr>
        <w:tc>
          <w:tcPr>
            <w:tcW w:type="dxa" w:w="1872"/>
            <w:shd w:fill="FFFDF9"/>
          </w:tcPr>
          <w:p>
            <w:pPr>
              <w:spacing w:after="20"/>
            </w:pPr>
            <w:r>
              <w:rPr>
                <w:sz w:val="17"/>
              </w:rPr>
              <w:t>Database</w:t>
            </w:r>
          </w:p>
        </w:tc>
        <w:tc>
          <w:tcPr>
            <w:tcW w:type="dxa" w:w="3672"/>
            <w:shd w:fill="FFFDF9"/>
          </w:tcPr>
          <w:p>
            <w:pPr>
              <w:spacing w:after="20"/>
            </w:pPr>
            <w:r>
              <w:rPr>
                <w:sz w:val="17"/>
              </w:rPr>
              <w:t>DATABASE_URL and direct/migration URL where required</w:t>
            </w:r>
          </w:p>
        </w:tc>
        <w:tc>
          <w:tcPr>
            <w:tcW w:type="dxa" w:w="3816"/>
            <w:shd w:fill="FFFDF9"/>
          </w:tcPr>
          <w:p>
            <w:pPr>
              <w:spacing w:after="20"/>
            </w:pPr>
            <w:r>
              <w:rPr>
                <w:sz w:val="17"/>
              </w:rPr>
              <w:t>Use TLS, restricted credentials and backups</w:t>
            </w:r>
          </w:p>
        </w:tc>
      </w:tr>
      <w:tr>
        <w:tc>
          <w:tcPr>
            <w:tcW w:type="dxa" w:w="1872"/>
          </w:tcPr>
          <w:p>
            <w:pPr>
              <w:spacing w:after="20"/>
            </w:pPr>
            <w:r>
              <w:rPr>
                <w:sz w:val="17"/>
              </w:rPr>
              <w:t>Authentication</w:t>
            </w:r>
          </w:p>
        </w:tc>
        <w:tc>
          <w:tcPr>
            <w:tcW w:type="dxa" w:w="3672"/>
          </w:tcPr>
          <w:p>
            <w:pPr>
              <w:spacing w:after="20"/>
            </w:pPr>
            <w:r>
              <w:rPr>
                <w:sz w:val="17"/>
              </w:rPr>
              <w:t>Auth URL, secret and provider credentials</w:t>
            </w:r>
          </w:p>
        </w:tc>
        <w:tc>
          <w:tcPr>
            <w:tcW w:type="dxa" w:w="3816"/>
          </w:tcPr>
          <w:p>
            <w:pPr>
              <w:spacing w:after="20"/>
            </w:pPr>
            <w:r>
              <w:rPr>
                <w:sz w:val="17"/>
              </w:rPr>
              <w:t>Use strong unique secrets and correct canonical domain</w:t>
            </w:r>
          </w:p>
        </w:tc>
      </w:tr>
      <w:tr>
        <w:tc>
          <w:tcPr>
            <w:tcW w:type="dxa" w:w="1872"/>
            <w:shd w:fill="FFFDF9"/>
          </w:tcPr>
          <w:p>
            <w:pPr>
              <w:spacing w:after="20"/>
            </w:pPr>
            <w:r>
              <w:rPr>
                <w:sz w:val="17"/>
              </w:rPr>
              <w:t>Storage</w:t>
            </w:r>
          </w:p>
        </w:tc>
        <w:tc>
          <w:tcPr>
            <w:tcW w:type="dxa" w:w="3672"/>
            <w:shd w:fill="FFFDF9"/>
          </w:tcPr>
          <w:p>
            <w:pPr>
              <w:spacing w:after="20"/>
            </w:pPr>
            <w:r>
              <w:rPr>
                <w:sz w:val="17"/>
              </w:rPr>
              <w:t>S3/Cloudinary bucket, region and keys</w:t>
            </w:r>
          </w:p>
        </w:tc>
        <w:tc>
          <w:tcPr>
            <w:tcW w:type="dxa" w:w="3816"/>
            <w:shd w:fill="FFFDF9"/>
          </w:tcPr>
          <w:p>
            <w:pPr>
              <w:spacing w:after="20"/>
            </w:pPr>
            <w:r>
              <w:rPr>
                <w:sz w:val="17"/>
              </w:rPr>
              <w:t>Separate public and private access</w:t>
            </w:r>
          </w:p>
        </w:tc>
      </w:tr>
      <w:tr>
        <w:tc>
          <w:tcPr>
            <w:tcW w:type="dxa" w:w="1872"/>
          </w:tcPr>
          <w:p>
            <w:pPr>
              <w:spacing w:after="20"/>
            </w:pPr>
            <w:r>
              <w:rPr>
                <w:sz w:val="17"/>
              </w:rPr>
              <w:t>Email</w:t>
            </w:r>
          </w:p>
        </w:tc>
        <w:tc>
          <w:tcPr>
            <w:tcW w:type="dxa" w:w="3672"/>
          </w:tcPr>
          <w:p>
            <w:pPr>
              <w:spacing w:after="20"/>
            </w:pPr>
            <w:r>
              <w:rPr>
                <w:sz w:val="17"/>
              </w:rPr>
              <w:t>SMTP or transactional provider</w:t>
            </w:r>
          </w:p>
        </w:tc>
        <w:tc>
          <w:tcPr>
            <w:tcW w:type="dxa" w:w="3816"/>
          </w:tcPr>
          <w:p>
            <w:pPr>
              <w:spacing w:after="20"/>
            </w:pPr>
            <w:r>
              <w:rPr>
                <w:sz w:val="17"/>
              </w:rPr>
              <w:t>Verify sender domain and bounce handling</w:t>
            </w:r>
          </w:p>
        </w:tc>
      </w:tr>
      <w:tr>
        <w:tc>
          <w:tcPr>
            <w:tcW w:type="dxa" w:w="1872"/>
            <w:shd w:fill="FFFDF9"/>
          </w:tcPr>
          <w:p>
            <w:pPr>
              <w:spacing w:after="20"/>
            </w:pPr>
            <w:r>
              <w:rPr>
                <w:sz w:val="17"/>
              </w:rPr>
              <w:t>Payments</w:t>
            </w:r>
          </w:p>
        </w:tc>
        <w:tc>
          <w:tcPr>
            <w:tcW w:type="dxa" w:w="3672"/>
            <w:shd w:fill="FFFDF9"/>
          </w:tcPr>
          <w:p>
            <w:pPr>
              <w:spacing w:after="20"/>
            </w:pPr>
            <w:r>
              <w:rPr>
                <w:sz w:val="17"/>
              </w:rPr>
              <w:t>eSewa, Khalti, ConnectIPS, Stripe or PayPal</w:t>
            </w:r>
          </w:p>
        </w:tc>
        <w:tc>
          <w:tcPr>
            <w:tcW w:type="dxa" w:w="3816"/>
            <w:shd w:fill="FFFDF9"/>
          </w:tcPr>
          <w:p>
            <w:pPr>
              <w:spacing w:after="20"/>
            </w:pPr>
            <w:r>
              <w:rPr>
                <w:sz w:val="17"/>
              </w:rPr>
              <w:t>Use server verification and signed callbacks</w:t>
            </w:r>
          </w:p>
        </w:tc>
      </w:tr>
      <w:tr>
        <w:tc>
          <w:tcPr>
            <w:tcW w:type="dxa" w:w="1872"/>
          </w:tcPr>
          <w:p>
            <w:pPr>
              <w:spacing w:after="20"/>
            </w:pPr>
            <w:r>
              <w:rPr>
                <w:sz w:val="17"/>
              </w:rPr>
              <w:t>Monitoring</w:t>
            </w:r>
          </w:p>
        </w:tc>
        <w:tc>
          <w:tcPr>
            <w:tcW w:type="dxa" w:w="3672"/>
          </w:tcPr>
          <w:p>
            <w:pPr>
              <w:spacing w:after="20"/>
            </w:pPr>
            <w:r>
              <w:rPr>
                <w:sz w:val="17"/>
              </w:rPr>
              <w:t>Error and performance provider</w:t>
            </w:r>
          </w:p>
        </w:tc>
        <w:tc>
          <w:tcPr>
            <w:tcW w:type="dxa" w:w="3816"/>
          </w:tcPr>
          <w:p>
            <w:pPr>
              <w:spacing w:after="20"/>
            </w:pPr>
            <w:r>
              <w:rPr>
                <w:sz w:val="17"/>
              </w:rPr>
              <w:t>Do not log secrets or payment credentials</w:t>
            </w:r>
          </w:p>
        </w:tc>
      </w:tr>
      <w:tr>
        <w:tc>
          <w:tcPr>
            <w:tcW w:type="dxa" w:w="1872"/>
            <w:shd w:fill="FFFDF9"/>
          </w:tcPr>
          <w:p>
            <w:pPr>
              <w:spacing w:after="20"/>
            </w:pPr>
            <w:r>
              <w:rPr>
                <w:sz w:val="17"/>
              </w:rPr>
              <w:t>Social APIs</w:t>
            </w:r>
          </w:p>
        </w:tc>
        <w:tc>
          <w:tcPr>
            <w:tcW w:type="dxa" w:w="3672"/>
            <w:shd w:fill="FFFDF9"/>
          </w:tcPr>
          <w:p>
            <w:pPr>
              <w:spacing w:after="20"/>
            </w:pPr>
            <w:r>
              <w:rPr>
                <w:sz w:val="17"/>
              </w:rPr>
              <w:t>Official platform app credentials</w:t>
            </w:r>
          </w:p>
        </w:tc>
        <w:tc>
          <w:tcPr>
            <w:tcW w:type="dxa" w:w="3816"/>
            <w:shd w:fill="FFFDF9"/>
          </w:tcPr>
          <w:p>
            <w:pPr>
              <w:spacing w:after="20"/>
            </w:pPr>
            <w:r>
              <w:rPr>
                <w:sz w:val="17"/>
              </w:rPr>
              <w:t>Never scrape or invent accounts</w:t>
            </w:r>
          </w:p>
        </w:tc>
      </w:tr>
    </w:tbl>
    <w:p/>
    <w:p>
      <w:pPr>
        <w:pStyle w:val="Heading2"/>
        <w:keepNext/>
      </w:pPr>
      <w:r>
        <w:t>Database release method</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Back up</w:t>
            </w:r>
          </w:p>
          <w:p>
            <w:pPr>
              <w:spacing w:after="40"/>
            </w:pPr>
            <w:r>
              <w:t>Create and verify a restorable backup.</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Review migrations</w:t>
            </w:r>
          </w:p>
          <w:p>
            <w:pPr>
              <w:spacing w:after="40"/>
            </w:pPr>
            <w:r>
              <w:t>Confirm they are additive and match the schema.</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Test staging</w:t>
            </w:r>
          </w:p>
          <w:p>
            <w:pPr>
              <w:spacing w:after="40"/>
            </w:pPr>
            <w:r>
              <w:t>Run the same database engine and representative data.</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Deploy migrations</w:t>
            </w:r>
          </w:p>
          <w:p>
            <w:pPr>
              <w:spacing w:after="40"/>
            </w:pPr>
            <w:r>
              <w:t>Use prisma migrate deploy, not migrate dev.</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Verify records</w:t>
            </w:r>
          </w:p>
          <w:p>
            <w:pPr>
              <w:spacing w:after="40"/>
            </w:pPr>
            <w:r>
              <w:t>Check users, products, posts, profiles, orders and payments.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Monitor</w:t>
            </w:r>
          </w:p>
          <w:p>
            <w:pPr>
              <w:spacing w:after="40"/>
            </w:pPr>
            <w:r>
              <w:t>Watch errors, slow queries and failed transactions.</w:t>
            </w:r>
          </w:p>
        </w:tc>
      </w:tr>
    </w:tbl>
    <w:p/>
    <w:tbl>
      <w:tblPr>
        <w:tblW w:type="auto" w:w="0"/>
        <w:jc w:val="center"/>
        <w:tblLook w:firstColumn="1" w:firstRow="1" w:lastColumn="0" w:lastRow="0" w:noHBand="0" w:noVBand="1" w:val="04A0"/>
      </w:tblPr>
      <w:tblGrid>
        <w:gridCol w:w="10282"/>
      </w:tblGrid>
      <w:tr>
        <w:tc>
          <w:tcPr>
            <w:tcW w:type="dxa" w:w="10282"/>
            <w:shd w:fill="FFF9F0"/>
            <w:tcBorders>
              <w:top w:val="single" w:sz="10" w:color="FF7900"/>
              <w:left w:val="single" w:sz="10" w:color="FF7900"/>
              <w:bottom w:val="single" w:sz="10" w:color="FF7900"/>
              <w:right w:val="single" w:sz="10" w:color="FF7900"/>
            </w:tcBorders>
          </w:tcPr>
          <w:p>
            <w:r>
              <w:rPr>
                <w:b/>
                <w:color w:val="FF7900"/>
                <w:sz w:val="22"/>
              </w:rPr>
              <w:t>Seeds</w:t>
            </w:r>
          </w:p>
          <w:p>
            <w:pPr>
              <w:spacing w:after="40"/>
            </w:pPr>
            <w:r>
              <w:t>Development seeds are useful for staging demonstrations but must not run automatically in production. Never replace authorised marketplace profiles with generated data.</w:t>
            </w:r>
          </w:p>
        </w:tc>
      </w:tr>
    </w:tbl>
    <w:p/>
    <w:p>
      <w:r>
        <w:br w:type="page"/>
      </w:r>
    </w:p>
    <w:p>
      <w:pPr>
        <w:keepNext/>
        <w:spacing w:after="80"/>
      </w:pPr>
      <w:r>
        <w:rPr>
          <w:b/>
          <w:color w:val="FF7900"/>
          <w:sz w:val="16"/>
        </w:rPr>
        <w:t>SECTION 10</w:t>
      </w:r>
    </w:p>
    <w:p>
      <w:pPr>
        <w:pStyle w:val="Heading1"/>
        <w:keepNext/>
      </w:pPr>
      <w:r>
        <w:t>Testing and smoke-check plan</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1584"/>
            <w:shd w:fill="082B4D"/>
          </w:tcPr>
          <w:p>
            <w:r>
              <w:rPr>
                <w:b/>
                <w:color w:val="FFFFFF"/>
                <w:sz w:val="18"/>
              </w:rPr>
              <w:t>Layer</w:t>
            </w:r>
          </w:p>
        </w:tc>
        <w:tc>
          <w:tcPr>
            <w:tcW w:type="dxa" w:w="4608"/>
            <w:shd w:fill="082B4D"/>
          </w:tcPr>
          <w:p>
            <w:r>
              <w:rPr>
                <w:b/>
                <w:color w:val="FFFFFF"/>
                <w:sz w:val="18"/>
              </w:rPr>
              <w:t>Checks</w:t>
            </w:r>
          </w:p>
        </w:tc>
        <w:tc>
          <w:tcPr>
            <w:tcW w:type="dxa" w:w="3168"/>
            <w:shd w:fill="082B4D"/>
          </w:tcPr>
          <w:p>
            <w:r>
              <w:rPr>
                <w:b/>
                <w:color w:val="FFFFFF"/>
                <w:sz w:val="18"/>
              </w:rPr>
              <w:t>Release evidence</w:t>
            </w:r>
          </w:p>
        </w:tc>
      </w:tr>
      <w:tr>
        <w:tc>
          <w:tcPr>
            <w:tcW w:type="dxa" w:w="1584"/>
            <w:shd w:fill="FFFDF9"/>
          </w:tcPr>
          <w:p>
            <w:pPr>
              <w:spacing w:after="20"/>
            </w:pPr>
            <w:r>
              <w:rPr>
                <w:sz w:val="17"/>
              </w:rPr>
              <w:t>Static integrity</w:t>
            </w:r>
          </w:p>
        </w:tc>
        <w:tc>
          <w:tcPr>
            <w:tcW w:type="dxa" w:w="4608"/>
            <w:shd w:fill="FFFDF9"/>
          </w:tcPr>
          <w:p>
            <w:pPr>
              <w:spacing w:after="20"/>
            </w:pPr>
            <w:r>
              <w:rPr>
                <w:sz w:val="17"/>
              </w:rPr>
              <w:t>Syntax, imports, routes, links, sitemaps, redirects</w:t>
            </w:r>
          </w:p>
        </w:tc>
        <w:tc>
          <w:tcPr>
            <w:tcW w:type="dxa" w:w="3168"/>
            <w:shd w:fill="FFFDF9"/>
          </w:tcPr>
          <w:p>
            <w:pPr>
              <w:spacing w:after="20"/>
            </w:pPr>
            <w:r>
              <w:rPr>
                <w:sz w:val="17"/>
              </w:rPr>
              <w:t>Audit JSON and validation report</w:t>
            </w:r>
          </w:p>
        </w:tc>
      </w:tr>
      <w:tr>
        <w:tc>
          <w:tcPr>
            <w:tcW w:type="dxa" w:w="1584"/>
          </w:tcPr>
          <w:p>
            <w:pPr>
              <w:spacing w:after="20"/>
            </w:pPr>
            <w:r>
              <w:rPr>
                <w:sz w:val="17"/>
              </w:rPr>
              <w:t>Packages</w:t>
            </w:r>
          </w:p>
        </w:tc>
        <w:tc>
          <w:tcPr>
            <w:tcW w:type="dxa" w:w="4608"/>
          </w:tcPr>
          <w:p>
            <w:pPr>
              <w:spacing w:after="20"/>
            </w:pPr>
            <w:r>
              <w:rPr>
                <w:sz w:val="17"/>
              </w:rPr>
              <w:t>Lock sync, package peers, Lucide exports</w:t>
            </w:r>
          </w:p>
        </w:tc>
        <w:tc>
          <w:tcPr>
            <w:tcW w:type="dxa" w:w="3168"/>
          </w:tcPr>
          <w:p>
            <w:pPr>
              <w:spacing w:after="20"/>
            </w:pPr>
            <w:r>
              <w:rPr>
                <w:sz w:val="17"/>
              </w:rPr>
              <w:t>Verification command output</w:t>
            </w:r>
          </w:p>
        </w:tc>
      </w:tr>
      <w:tr>
        <w:tc>
          <w:tcPr>
            <w:tcW w:type="dxa" w:w="1584"/>
            <w:shd w:fill="FFFDF9"/>
          </w:tcPr>
          <w:p>
            <w:pPr>
              <w:spacing w:after="20"/>
            </w:pPr>
            <w:r>
              <w:rPr>
                <w:sz w:val="17"/>
              </w:rPr>
              <w:t>Types and build</w:t>
            </w:r>
          </w:p>
        </w:tc>
        <w:tc>
          <w:tcPr>
            <w:tcW w:type="dxa" w:w="4608"/>
            <w:shd w:fill="FFFDF9"/>
          </w:tcPr>
          <w:p>
            <w:pPr>
              <w:spacing w:after="20"/>
            </w:pPr>
            <w:r>
              <w:rPr>
                <w:sz w:val="17"/>
              </w:rPr>
              <w:t>TypeScript and Next production build</w:t>
            </w:r>
          </w:p>
        </w:tc>
        <w:tc>
          <w:tcPr>
            <w:tcW w:type="dxa" w:w="3168"/>
            <w:shd w:fill="FFFDF9"/>
          </w:tcPr>
          <w:p>
            <w:pPr>
              <w:spacing w:after="20"/>
            </w:pPr>
            <w:r>
              <w:rPr>
                <w:sz w:val="17"/>
              </w:rPr>
              <w:t>Successful CI/Vercel build</w:t>
            </w:r>
          </w:p>
        </w:tc>
      </w:tr>
      <w:tr>
        <w:tc>
          <w:tcPr>
            <w:tcW w:type="dxa" w:w="1584"/>
          </w:tcPr>
          <w:p>
            <w:pPr>
              <w:spacing w:after="20"/>
            </w:pPr>
            <w:r>
              <w:rPr>
                <w:sz w:val="17"/>
              </w:rPr>
              <w:t>Database</w:t>
            </w:r>
          </w:p>
        </w:tc>
        <w:tc>
          <w:tcPr>
            <w:tcW w:type="dxa" w:w="4608"/>
          </w:tcPr>
          <w:p>
            <w:pPr>
              <w:spacing w:after="20"/>
            </w:pPr>
            <w:r>
              <w:rPr>
                <w:sz w:val="17"/>
              </w:rPr>
              <w:t>Generate, migration status and staging deploy</w:t>
            </w:r>
          </w:p>
        </w:tc>
        <w:tc>
          <w:tcPr>
            <w:tcW w:type="dxa" w:w="3168"/>
          </w:tcPr>
          <w:p>
            <w:pPr>
              <w:spacing w:after="20"/>
            </w:pPr>
            <w:r>
              <w:rPr>
                <w:sz w:val="17"/>
              </w:rPr>
              <w:t>Migration log and record checks</w:t>
            </w:r>
          </w:p>
        </w:tc>
      </w:tr>
      <w:tr>
        <w:tc>
          <w:tcPr>
            <w:tcW w:type="dxa" w:w="1584"/>
            <w:shd w:fill="FFFDF9"/>
          </w:tcPr>
          <w:p>
            <w:pPr>
              <w:spacing w:after="20"/>
            </w:pPr>
            <w:r>
              <w:rPr>
                <w:sz w:val="17"/>
              </w:rPr>
              <w:t>Public UX</w:t>
            </w:r>
          </w:p>
        </w:tc>
        <w:tc>
          <w:tcPr>
            <w:tcW w:type="dxa" w:w="4608"/>
            <w:shd w:fill="FFFDF9"/>
          </w:tcPr>
          <w:p>
            <w:pPr>
              <w:spacing w:after="20"/>
            </w:pPr>
            <w:r>
              <w:rPr>
                <w:sz w:val="17"/>
              </w:rPr>
              <w:t>Home, services, products, blog, guides, sitemaps</w:t>
            </w:r>
          </w:p>
        </w:tc>
        <w:tc>
          <w:tcPr>
            <w:tcW w:type="dxa" w:w="3168"/>
            <w:shd w:fill="FFFDF9"/>
          </w:tcPr>
          <w:p>
            <w:pPr>
              <w:spacing w:after="20"/>
            </w:pPr>
            <w:r>
              <w:rPr>
                <w:sz w:val="17"/>
              </w:rPr>
              <w:t>Desktop/tablet/mobile screenshots</w:t>
            </w:r>
          </w:p>
        </w:tc>
      </w:tr>
      <w:tr>
        <w:tc>
          <w:tcPr>
            <w:tcW w:type="dxa" w:w="1584"/>
          </w:tcPr>
          <w:p>
            <w:pPr>
              <w:spacing w:after="20"/>
            </w:pPr>
            <w:r>
              <w:rPr>
                <w:sz w:val="17"/>
              </w:rPr>
              <w:t>Accounts</w:t>
            </w:r>
          </w:p>
        </w:tc>
        <w:tc>
          <w:tcPr>
            <w:tcW w:type="dxa" w:w="4608"/>
          </w:tcPr>
          <w:p>
            <w:pPr>
              <w:spacing w:after="20"/>
            </w:pPr>
            <w:r>
              <w:rPr>
                <w:sz w:val="17"/>
              </w:rPr>
              <w:t>Register, login, reset, roles and sessions</w:t>
            </w:r>
          </w:p>
        </w:tc>
        <w:tc>
          <w:tcPr>
            <w:tcW w:type="dxa" w:w="3168"/>
          </w:tcPr>
          <w:p>
            <w:pPr>
              <w:spacing w:after="20"/>
            </w:pPr>
            <w:r>
              <w:rPr>
                <w:sz w:val="17"/>
              </w:rPr>
              <w:t>Test-account checklist</w:t>
            </w:r>
          </w:p>
        </w:tc>
      </w:tr>
      <w:tr>
        <w:tc>
          <w:tcPr>
            <w:tcW w:type="dxa" w:w="1584"/>
            <w:shd w:fill="FFFDF9"/>
          </w:tcPr>
          <w:p>
            <w:pPr>
              <w:spacing w:after="20"/>
            </w:pPr>
            <w:r>
              <w:rPr>
                <w:sz w:val="17"/>
              </w:rPr>
              <w:t>Commerce</w:t>
            </w:r>
          </w:p>
        </w:tc>
        <w:tc>
          <w:tcPr>
            <w:tcW w:type="dxa" w:w="4608"/>
            <w:shd w:fill="FFFDF9"/>
          </w:tcPr>
          <w:p>
            <w:pPr>
              <w:spacing w:after="20"/>
            </w:pPr>
            <w:r>
              <w:rPr>
                <w:sz w:val="17"/>
              </w:rPr>
              <w:t>Cart, RFQ, checkout, callback, invoice</w:t>
            </w:r>
          </w:p>
        </w:tc>
        <w:tc>
          <w:tcPr>
            <w:tcW w:type="dxa" w:w="3168"/>
            <w:shd w:fill="FFFDF9"/>
          </w:tcPr>
          <w:p>
            <w:pPr>
              <w:spacing w:after="20"/>
            </w:pPr>
            <w:r>
              <w:rPr>
                <w:sz w:val="17"/>
              </w:rPr>
              <w:t>Sandbox transaction references</w:t>
            </w:r>
          </w:p>
        </w:tc>
      </w:tr>
      <w:tr>
        <w:tc>
          <w:tcPr>
            <w:tcW w:type="dxa" w:w="1584"/>
          </w:tcPr>
          <w:p>
            <w:pPr>
              <w:spacing w:after="20"/>
            </w:pPr>
            <w:r>
              <w:rPr>
                <w:sz w:val="17"/>
              </w:rPr>
              <w:t>Admin</w:t>
            </w:r>
          </w:p>
        </w:tc>
        <w:tc>
          <w:tcPr>
            <w:tcW w:type="dxa" w:w="4608"/>
          </w:tcPr>
          <w:p>
            <w:pPr>
              <w:spacing w:after="20"/>
            </w:pPr>
            <w:r>
              <w:rPr>
                <w:sz w:val="17"/>
              </w:rPr>
              <w:t>Permissions, content, products, profiles and route health</w:t>
            </w:r>
          </w:p>
        </w:tc>
        <w:tc>
          <w:tcPr>
            <w:tcW w:type="dxa" w:w="3168"/>
          </w:tcPr>
          <w:p>
            <w:pPr>
              <w:spacing w:after="20"/>
            </w:pPr>
            <w:r>
              <w:rPr>
                <w:sz w:val="17"/>
              </w:rPr>
              <w:t>Role-based test record</w:t>
            </w:r>
          </w:p>
        </w:tc>
      </w:tr>
      <w:tr>
        <w:tc>
          <w:tcPr>
            <w:tcW w:type="dxa" w:w="1584"/>
            <w:shd w:fill="FFFDF9"/>
          </w:tcPr>
          <w:p>
            <w:pPr>
              <w:spacing w:after="20"/>
            </w:pPr>
            <w:r>
              <w:rPr>
                <w:sz w:val="17"/>
              </w:rPr>
              <w:t>Integrations</w:t>
            </w:r>
          </w:p>
        </w:tc>
        <w:tc>
          <w:tcPr>
            <w:tcW w:type="dxa" w:w="4608"/>
            <w:shd w:fill="FFFDF9"/>
          </w:tcPr>
          <w:p>
            <w:pPr>
              <w:spacing w:after="20"/>
            </w:pPr>
            <w:r>
              <w:rPr>
                <w:sz w:val="17"/>
              </w:rPr>
              <w:t>Email, storage, notification and official social APIs</w:t>
            </w:r>
          </w:p>
        </w:tc>
        <w:tc>
          <w:tcPr>
            <w:tcW w:type="dxa" w:w="3168"/>
            <w:shd w:fill="FFFDF9"/>
          </w:tcPr>
          <w:p>
            <w:pPr>
              <w:spacing w:after="20"/>
            </w:pPr>
            <w:r>
              <w:rPr>
                <w:sz w:val="17"/>
              </w:rPr>
              <w:t>Provider delivery logs</w:t>
            </w:r>
          </w:p>
        </w:tc>
      </w:tr>
      <w:tr>
        <w:tc>
          <w:tcPr>
            <w:tcW w:type="dxa" w:w="1584"/>
          </w:tcPr>
          <w:p>
            <w:pPr>
              <w:spacing w:after="20"/>
            </w:pPr>
            <w:r>
              <w:rPr>
                <w:sz w:val="17"/>
              </w:rPr>
              <w:t>Mobile</w:t>
            </w:r>
          </w:p>
        </w:tc>
        <w:tc>
          <w:tcPr>
            <w:tcW w:type="dxa" w:w="4608"/>
          </w:tcPr>
          <w:p>
            <w:pPr>
              <w:spacing w:after="20"/>
            </w:pPr>
            <w:r>
              <w:rPr>
                <w:sz w:val="17"/>
              </w:rPr>
              <w:t>Deep links, offline drafts, upload and push</w:t>
            </w:r>
          </w:p>
        </w:tc>
        <w:tc>
          <w:tcPr>
            <w:tcW w:type="dxa" w:w="3168"/>
          </w:tcPr>
          <w:p>
            <w:pPr>
              <w:spacing w:after="20"/>
            </w:pPr>
            <w:r>
              <w:rPr>
                <w:sz w:val="17"/>
              </w:rPr>
              <w:t>Device test matrix</w:t>
            </w:r>
          </w:p>
        </w:tc>
      </w:tr>
    </w:tbl>
    <w:p/>
    <w:p>
      <w:pPr>
        <w:pStyle w:val="Heading2"/>
        <w:keepNext/>
      </w:pPr>
      <w:r>
        <w:t>Pagination smoke tests</w:t>
      </w:r>
    </w:p>
    <w:p>
      <w:pPr>
        <w:pStyle w:val="ListBullet"/>
        <w:spacing w:after="60"/>
        <w:ind w:left="288"/>
      </w:pPr>
      <w:r>
        <w:t>Open page 1, middle page and final page.</w:t>
      </w:r>
    </w:p>
    <w:p>
      <w:pPr>
        <w:pStyle w:val="ListBullet"/>
        <w:spacing w:after="60"/>
        <w:ind w:left="288"/>
      </w:pPr>
      <w:r>
        <w:t>Change page size and confirm page resets to 1.</w:t>
      </w:r>
    </w:p>
    <w:p>
      <w:pPr>
        <w:pStyle w:val="ListBullet"/>
        <w:spacing w:after="60"/>
        <w:ind w:left="288"/>
      </w:pPr>
      <w:r>
        <w:t>Apply search, category, brand, price, stock and sort filters.</w:t>
      </w:r>
    </w:p>
    <w:p>
      <w:pPr>
        <w:pStyle w:val="ListBullet"/>
        <w:spacing w:after="60"/>
        <w:ind w:left="288"/>
      </w:pPr>
      <w:r>
        <w:t>Use browser back and forward.</w:t>
      </w:r>
    </w:p>
    <w:p>
      <w:pPr>
        <w:pStyle w:val="ListBullet"/>
        <w:spacing w:after="60"/>
        <w:ind w:left="288"/>
      </w:pPr>
      <w:r>
        <w:t>Paste an excessive page number and confirm safe redirection.</w:t>
      </w:r>
    </w:p>
    <w:p>
      <w:pPr>
        <w:pStyle w:val="ListBullet"/>
        <w:spacing w:after="60"/>
        <w:ind w:left="288"/>
      </w:pPr>
      <w:r>
        <w:t>Test empty results and a single-page result set.</w:t>
      </w:r>
    </w:p>
    <w:p>
      <w:pPr>
        <w:pStyle w:val="Heading2"/>
        <w:keepNext/>
      </w:pPr>
      <w:r>
        <w:t>Quick-view smoke tests</w:t>
      </w:r>
    </w:p>
    <w:p>
      <w:pPr>
        <w:pStyle w:val="ListBullet"/>
        <w:spacing w:after="60"/>
        <w:ind w:left="288"/>
      </w:pPr>
      <w:r>
        <w:t>Open from every product card layout.</w:t>
      </w:r>
    </w:p>
    <w:p>
      <w:pPr>
        <w:pStyle w:val="ListBullet"/>
        <w:spacing w:after="60"/>
        <w:ind w:left="288"/>
      </w:pPr>
      <w:r>
        <w:t>Test local, remote and broken images.</w:t>
      </w:r>
    </w:p>
    <w:p>
      <w:pPr>
        <w:pStyle w:val="ListBullet"/>
        <w:spacing w:after="60"/>
        <w:ind w:left="288"/>
      </w:pPr>
      <w:r>
        <w:t>Test 320px, 390px, tablet and desktop viewports.</w:t>
      </w:r>
    </w:p>
    <w:p>
      <w:pPr>
        <w:pStyle w:val="ListBullet"/>
        <w:spacing w:after="60"/>
        <w:ind w:left="288"/>
      </w:pPr>
      <w:r>
        <w:t>Use keyboard Tab, Shift+Tab and Escape.</w:t>
      </w:r>
    </w:p>
    <w:p>
      <w:pPr>
        <w:pStyle w:val="ListBullet"/>
        <w:spacing w:after="60"/>
        <w:ind w:left="288"/>
      </w:pPr>
      <w:r>
        <w:t>Confirm cart, quote and full-details actions.</w:t>
      </w:r>
    </w:p>
    <w:p>
      <w:r>
        <w:br w:type="page"/>
      </w:r>
    </w:p>
    <w:p>
      <w:pPr>
        <w:keepNext/>
        <w:spacing w:after="80"/>
      </w:pPr>
      <w:r>
        <w:rPr>
          <w:b/>
          <w:color w:val="FF7900"/>
          <w:sz w:val="16"/>
        </w:rPr>
        <w:t>SECTION 11</w:t>
      </w:r>
    </w:p>
    <w:p>
      <w:pPr>
        <w:pStyle w:val="Heading1"/>
        <w:keepNext/>
      </w:pPr>
      <w:r>
        <w:t>Rollback and recovery</w:t>
      </w:r>
    </w:p>
    <w:p>
      <w:pPr>
        <w:spacing w:after="120" w:line="278" w:lineRule="auto"/>
      </w:pPr>
      <w:r>
        <w:t>A code rollback and a database rollback are different operations. Vercel can restore a previous deployment quickly, but database changes require a tested plan.</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Pause risky writes</w:t>
            </w:r>
          </w:p>
          <w:p>
            <w:pPr>
              <w:spacing w:after="40"/>
            </w:pPr>
            <w:r>
              <w:t>When necessary, disable the affected workflow through a safe feature flag or maintenance control.</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Assess scope</w:t>
            </w:r>
          </w:p>
          <w:p>
            <w:pPr>
              <w:spacing w:after="40"/>
            </w:pPr>
            <w:r>
              <w:t>Identify whether the incident affects code, configuration, database, storage or an external provider.</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Rollback application</w:t>
            </w:r>
          </w:p>
          <w:p>
            <w:pPr>
              <w:spacing w:after="40"/>
            </w:pPr>
            <w:r>
              <w:t>Promote the previous healthy Vercel deployment.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Handle database safely</w:t>
            </w:r>
          </w:p>
          <w:p>
            <w:pPr>
              <w:spacing w:after="40"/>
            </w:pPr>
            <w:r>
              <w:t>Prefer a forward-fix migration. Restore a backup only after reviewing the recovery point and transaction impact.</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Verify integrations</w:t>
            </w:r>
          </w:p>
          <w:p>
            <w:pPr>
              <w:spacing w:after="40"/>
            </w:pPr>
            <w:r>
              <w:t>Confirm callbacks, webhooks, emails and storage access after rollback.</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Record incident</w:t>
            </w:r>
          </w:p>
          <w:p>
            <w:pPr>
              <w:spacing w:after="40"/>
            </w:pPr>
            <w:r>
              <w:t>Document symptoms, timeline, affected records, resolution and prevention action.</w:t>
            </w:r>
          </w:p>
        </w:tc>
      </w:tr>
    </w:tbl>
    <w:p/>
    <w:tbl>
      <w:tblPr>
        <w:tblW w:type="auto" w:w="0"/>
        <w:jc w:val="center"/>
        <w:tblLook w:firstColumn="1" w:firstRow="1" w:lastColumn="0" w:lastRow="0" w:noHBand="0" w:noVBand="1" w:val="04A0"/>
      </w:tblPr>
      <w:tblGrid>
        <w:gridCol w:w="10282"/>
      </w:tblGrid>
      <w:tr>
        <w:tc>
          <w:tcPr>
            <w:tcW w:type="dxa" w:w="10282"/>
            <w:shd w:fill="FFF9F0"/>
            <w:tcBorders>
              <w:top w:val="single" w:sz="10" w:color="B42318"/>
              <w:left w:val="single" w:sz="10" w:color="B42318"/>
              <w:bottom w:val="single" w:sz="10" w:color="B42318"/>
              <w:right w:val="single" w:sz="10" w:color="B42318"/>
            </w:tcBorders>
          </w:tcPr>
          <w:p>
            <w:r>
              <w:rPr>
                <w:b/>
                <w:color w:val="B42318"/>
                <w:sz w:val="22"/>
              </w:rPr>
              <w:t>Never improvise on production data</w:t>
            </w:r>
          </w:p>
          <w:p>
            <w:pPr>
              <w:spacing w:after="40"/>
            </w:pPr>
            <w:r>
              <w:t>Do not run prisma db push, migrate reset or ad-hoc destructive SQL during an incident. Obtain a backup and review the recovery plan first.</w:t>
            </w:r>
          </w:p>
        </w:tc>
      </w:tr>
    </w:tbl>
    <w:p/>
    <w:p>
      <w:pPr>
        <w:pStyle w:val="Heading2"/>
        <w:keepNext/>
      </w:pPr>
      <w:r>
        <w:t>Minimum recovery assets</w:t>
      </w:r>
    </w:p>
    <w:p>
      <w:pPr>
        <w:pStyle w:val="ListBullet"/>
        <w:spacing w:after="60"/>
        <w:ind w:left="288"/>
      </w:pPr>
      <w:r>
        <w:t>Previous healthy deployment</w:t>
      </w:r>
    </w:p>
    <w:p>
      <w:pPr>
        <w:pStyle w:val="ListBullet"/>
        <w:spacing w:after="60"/>
        <w:ind w:left="288"/>
      </w:pPr>
      <w:r>
        <w:t>Current and previous source ZIP/checksum</w:t>
      </w:r>
    </w:p>
    <w:p>
      <w:pPr>
        <w:pStyle w:val="ListBullet"/>
        <w:spacing w:after="60"/>
        <w:ind w:left="288"/>
      </w:pPr>
      <w:r>
        <w:t>Database backup and migration history</w:t>
      </w:r>
    </w:p>
    <w:p>
      <w:pPr>
        <w:pStyle w:val="ListBullet"/>
        <w:spacing w:after="60"/>
        <w:ind w:left="288"/>
      </w:pPr>
      <w:r>
        <w:t>Media-storage backup or versioning</w:t>
      </w:r>
    </w:p>
    <w:p>
      <w:pPr>
        <w:pStyle w:val="ListBullet"/>
        <w:spacing w:after="60"/>
        <w:ind w:left="288"/>
      </w:pPr>
      <w:r>
        <w:t>Environment-variable inventory</w:t>
      </w:r>
    </w:p>
    <w:p>
      <w:pPr>
        <w:pStyle w:val="ListBullet"/>
        <w:spacing w:after="60"/>
        <w:ind w:left="288"/>
      </w:pPr>
      <w:r>
        <w:t>Provider account access and incident contacts</w:t>
      </w:r>
    </w:p>
    <w:p>
      <w:r>
        <w:br w:type="page"/>
      </w:r>
    </w:p>
    <w:p>
      <w:pPr>
        <w:keepNext/>
        <w:spacing w:after="80"/>
      </w:pPr>
      <w:r>
        <w:rPr>
          <w:b/>
          <w:color w:val="FF7900"/>
          <w:sz w:val="16"/>
        </w:rPr>
        <w:t>SECTION 12</w:t>
      </w:r>
    </w:p>
    <w:p>
      <w:pPr>
        <w:pStyle w:val="Heading1"/>
        <w:keepNext/>
      </w:pPr>
      <w:r>
        <w:t>Owner and admin operating guide</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1944"/>
            <w:shd w:fill="082B4D"/>
          </w:tcPr>
          <w:p>
            <w:r>
              <w:rPr>
                <w:b/>
                <w:color w:val="FFFFFF"/>
                <w:sz w:val="18"/>
              </w:rPr>
              <w:t>Routine</w:t>
            </w:r>
          </w:p>
        </w:tc>
        <w:tc>
          <w:tcPr>
            <w:tcW w:type="dxa" w:w="5256"/>
            <w:shd w:fill="082B4D"/>
          </w:tcPr>
          <w:p>
            <w:r>
              <w:rPr>
                <w:b/>
                <w:color w:val="FFFFFF"/>
                <w:sz w:val="18"/>
              </w:rPr>
              <w:t>What to review</w:t>
            </w:r>
          </w:p>
        </w:tc>
        <w:tc>
          <w:tcPr>
            <w:tcW w:type="dxa" w:w="2232"/>
            <w:shd w:fill="082B4D"/>
          </w:tcPr>
          <w:p>
            <w:r>
              <w:rPr>
                <w:b/>
                <w:color w:val="FFFFFF"/>
                <w:sz w:val="18"/>
              </w:rPr>
              <w:t>Suggested frequency</w:t>
            </w:r>
          </w:p>
        </w:tc>
      </w:tr>
      <w:tr>
        <w:tc>
          <w:tcPr>
            <w:tcW w:type="dxa" w:w="1944"/>
            <w:shd w:fill="FFFDF9"/>
          </w:tcPr>
          <w:p>
            <w:pPr>
              <w:spacing w:after="20"/>
            </w:pPr>
            <w:r>
              <w:rPr>
                <w:sz w:val="17"/>
              </w:rPr>
              <w:t>Marketplace quality</w:t>
            </w:r>
          </w:p>
        </w:tc>
        <w:tc>
          <w:tcPr>
            <w:tcW w:type="dxa" w:w="5256"/>
            <w:shd w:fill="FFFDF9"/>
          </w:tcPr>
          <w:p>
            <w:pPr>
              <w:spacing w:after="20"/>
            </w:pPr>
            <w:r>
              <w:rPr>
                <w:sz w:val="17"/>
              </w:rPr>
              <w:t>Pending products, missing images, supplier evidence, stale stock</w:t>
            </w:r>
          </w:p>
        </w:tc>
        <w:tc>
          <w:tcPr>
            <w:tcW w:type="dxa" w:w="2232"/>
            <w:shd w:fill="FFFDF9"/>
          </w:tcPr>
          <w:p>
            <w:pPr>
              <w:spacing w:after="20"/>
            </w:pPr>
            <w:r>
              <w:rPr>
                <w:sz w:val="17"/>
              </w:rPr>
              <w:t>Daily</w:t>
            </w:r>
          </w:p>
        </w:tc>
      </w:tr>
      <w:tr>
        <w:tc>
          <w:tcPr>
            <w:tcW w:type="dxa" w:w="1944"/>
          </w:tcPr>
          <w:p>
            <w:pPr>
              <w:spacing w:after="20"/>
            </w:pPr>
            <w:r>
              <w:rPr>
                <w:sz w:val="17"/>
              </w:rPr>
              <w:t>Leads and RFQs</w:t>
            </w:r>
          </w:p>
        </w:tc>
        <w:tc>
          <w:tcPr>
            <w:tcW w:type="dxa" w:w="5256"/>
          </w:tcPr>
          <w:p>
            <w:pPr>
              <w:spacing w:after="20"/>
            </w:pPr>
            <w:r>
              <w:rPr>
                <w:sz w:val="17"/>
              </w:rPr>
              <w:t>New requests, distribution, response time and conversion</w:t>
            </w:r>
          </w:p>
        </w:tc>
        <w:tc>
          <w:tcPr>
            <w:tcW w:type="dxa" w:w="2232"/>
          </w:tcPr>
          <w:p>
            <w:pPr>
              <w:spacing w:after="20"/>
            </w:pPr>
            <w:r>
              <w:rPr>
                <w:sz w:val="17"/>
              </w:rPr>
              <w:t>Daily</w:t>
            </w:r>
          </w:p>
        </w:tc>
      </w:tr>
      <w:tr>
        <w:tc>
          <w:tcPr>
            <w:tcW w:type="dxa" w:w="1944"/>
            <w:shd w:fill="FFFDF9"/>
          </w:tcPr>
          <w:p>
            <w:pPr>
              <w:spacing w:after="20"/>
            </w:pPr>
            <w:r>
              <w:rPr>
                <w:sz w:val="17"/>
              </w:rPr>
              <w:t>Professional network</w:t>
            </w:r>
          </w:p>
        </w:tc>
        <w:tc>
          <w:tcPr>
            <w:tcW w:type="dxa" w:w="5256"/>
            <w:shd w:fill="FFFDF9"/>
          </w:tcPr>
          <w:p>
            <w:pPr>
              <w:spacing w:after="20"/>
            </w:pPr>
            <w:r>
              <w:rPr>
                <w:sz w:val="17"/>
              </w:rPr>
              <w:t>Applications, licences, portfolio and verification</w:t>
            </w:r>
          </w:p>
        </w:tc>
        <w:tc>
          <w:tcPr>
            <w:tcW w:type="dxa" w:w="2232"/>
            <w:shd w:fill="FFFDF9"/>
          </w:tcPr>
          <w:p>
            <w:pPr>
              <w:spacing w:after="20"/>
            </w:pPr>
            <w:r>
              <w:rPr>
                <w:sz w:val="17"/>
              </w:rPr>
              <w:t>Daily/weekly</w:t>
            </w:r>
          </w:p>
        </w:tc>
      </w:tr>
      <w:tr>
        <w:tc>
          <w:tcPr>
            <w:tcW w:type="dxa" w:w="1944"/>
          </w:tcPr>
          <w:p>
            <w:pPr>
              <w:spacing w:after="20"/>
            </w:pPr>
            <w:r>
              <w:rPr>
                <w:sz w:val="17"/>
              </w:rPr>
              <w:t>Content</w:t>
            </w:r>
          </w:p>
        </w:tc>
        <w:tc>
          <w:tcPr>
            <w:tcW w:type="dxa" w:w="5256"/>
          </w:tcPr>
          <w:p>
            <w:pPr>
              <w:spacing w:after="20"/>
            </w:pPr>
            <w:r>
              <w:rPr>
                <w:sz w:val="17"/>
              </w:rPr>
              <w:t>Drafts, broken links, metadata, related content and schedule</w:t>
            </w:r>
          </w:p>
        </w:tc>
        <w:tc>
          <w:tcPr>
            <w:tcW w:type="dxa" w:w="2232"/>
          </w:tcPr>
          <w:p>
            <w:pPr>
              <w:spacing w:after="20"/>
            </w:pPr>
            <w:r>
              <w:rPr>
                <w:sz w:val="17"/>
              </w:rPr>
              <w:t>Weekly</w:t>
            </w:r>
          </w:p>
        </w:tc>
      </w:tr>
      <w:tr>
        <w:tc>
          <w:tcPr>
            <w:tcW w:type="dxa" w:w="1944"/>
            <w:shd w:fill="FFFDF9"/>
          </w:tcPr>
          <w:p>
            <w:pPr>
              <w:spacing w:after="20"/>
            </w:pPr>
            <w:r>
              <w:rPr>
                <w:sz w:val="17"/>
              </w:rPr>
              <w:t>SEO</w:t>
            </w:r>
          </w:p>
        </w:tc>
        <w:tc>
          <w:tcPr>
            <w:tcW w:type="dxa" w:w="5256"/>
            <w:shd w:fill="FFFDF9"/>
          </w:tcPr>
          <w:p>
            <w:pPr>
              <w:spacing w:after="20"/>
            </w:pPr>
            <w:r>
              <w:rPr>
                <w:sz w:val="17"/>
              </w:rPr>
              <w:t>Indexing, sitemaps, canonical URLs and top landing pages</w:t>
            </w:r>
          </w:p>
        </w:tc>
        <w:tc>
          <w:tcPr>
            <w:tcW w:type="dxa" w:w="2232"/>
            <w:shd w:fill="FFFDF9"/>
          </w:tcPr>
          <w:p>
            <w:pPr>
              <w:spacing w:after="20"/>
            </w:pPr>
            <w:r>
              <w:rPr>
                <w:sz w:val="17"/>
              </w:rPr>
              <w:t>Weekly</w:t>
            </w:r>
          </w:p>
        </w:tc>
      </w:tr>
      <w:tr>
        <w:tc>
          <w:tcPr>
            <w:tcW w:type="dxa" w:w="1944"/>
          </w:tcPr>
          <w:p>
            <w:pPr>
              <w:spacing w:after="20"/>
            </w:pPr>
            <w:r>
              <w:rPr>
                <w:sz w:val="17"/>
              </w:rPr>
              <w:t>Finance</w:t>
            </w:r>
          </w:p>
        </w:tc>
        <w:tc>
          <w:tcPr>
            <w:tcW w:type="dxa" w:w="5256"/>
          </w:tcPr>
          <w:p>
            <w:pPr>
              <w:spacing w:after="20"/>
            </w:pPr>
            <w:r>
              <w:rPr>
                <w:sz w:val="17"/>
              </w:rPr>
              <w:t>Payments, invoices, failed callbacks and reconciliation</w:t>
            </w:r>
          </w:p>
        </w:tc>
        <w:tc>
          <w:tcPr>
            <w:tcW w:type="dxa" w:w="2232"/>
          </w:tcPr>
          <w:p>
            <w:pPr>
              <w:spacing w:after="20"/>
            </w:pPr>
            <w:r>
              <w:rPr>
                <w:sz w:val="17"/>
              </w:rPr>
              <w:t>Daily</w:t>
            </w:r>
          </w:p>
        </w:tc>
      </w:tr>
      <w:tr>
        <w:tc>
          <w:tcPr>
            <w:tcW w:type="dxa" w:w="1944"/>
            <w:shd w:fill="FFFDF9"/>
          </w:tcPr>
          <w:p>
            <w:pPr>
              <w:spacing w:after="20"/>
            </w:pPr>
            <w:r>
              <w:rPr>
                <w:sz w:val="17"/>
              </w:rPr>
              <w:t>Support</w:t>
            </w:r>
          </w:p>
        </w:tc>
        <w:tc>
          <w:tcPr>
            <w:tcW w:type="dxa" w:w="5256"/>
            <w:shd w:fill="FFFDF9"/>
          </w:tcPr>
          <w:p>
            <w:pPr>
              <w:spacing w:after="20"/>
            </w:pPr>
            <w:r>
              <w:rPr>
                <w:sz w:val="17"/>
              </w:rPr>
              <w:t>Open tickets, priority, response time and satisfaction</w:t>
            </w:r>
          </w:p>
        </w:tc>
        <w:tc>
          <w:tcPr>
            <w:tcW w:type="dxa" w:w="2232"/>
            <w:shd w:fill="FFFDF9"/>
          </w:tcPr>
          <w:p>
            <w:pPr>
              <w:spacing w:after="20"/>
            </w:pPr>
            <w:r>
              <w:rPr>
                <w:sz w:val="17"/>
              </w:rPr>
              <w:t>Daily</w:t>
            </w:r>
          </w:p>
        </w:tc>
      </w:tr>
      <w:tr>
        <w:tc>
          <w:tcPr>
            <w:tcW w:type="dxa" w:w="1944"/>
          </w:tcPr>
          <w:p>
            <w:pPr>
              <w:spacing w:after="20"/>
            </w:pPr>
            <w:r>
              <w:rPr>
                <w:sz w:val="17"/>
              </w:rPr>
              <w:t>System health</w:t>
            </w:r>
          </w:p>
        </w:tc>
        <w:tc>
          <w:tcPr>
            <w:tcW w:type="dxa" w:w="5256"/>
          </w:tcPr>
          <w:p>
            <w:pPr>
              <w:spacing w:after="20"/>
            </w:pPr>
            <w:r>
              <w:rPr>
                <w:sz w:val="17"/>
              </w:rPr>
              <w:t>Route, database, storage, email and payment configuration</w:t>
            </w:r>
          </w:p>
        </w:tc>
        <w:tc>
          <w:tcPr>
            <w:tcW w:type="dxa" w:w="2232"/>
          </w:tcPr>
          <w:p>
            <w:pPr>
              <w:spacing w:after="20"/>
            </w:pPr>
            <w:r>
              <w:rPr>
                <w:sz w:val="17"/>
              </w:rPr>
              <w:t>Daily after deploy</w:t>
            </w:r>
          </w:p>
        </w:tc>
      </w:tr>
      <w:tr>
        <w:tc>
          <w:tcPr>
            <w:tcW w:type="dxa" w:w="1944"/>
            <w:shd w:fill="FFFDF9"/>
          </w:tcPr>
          <w:p>
            <w:pPr>
              <w:spacing w:after="20"/>
            </w:pPr>
            <w:r>
              <w:rPr>
                <w:sz w:val="17"/>
              </w:rPr>
              <w:t>Backups</w:t>
            </w:r>
          </w:p>
        </w:tc>
        <w:tc>
          <w:tcPr>
            <w:tcW w:type="dxa" w:w="5256"/>
            <w:shd w:fill="FFFDF9"/>
          </w:tcPr>
          <w:p>
            <w:pPr>
              <w:spacing w:after="20"/>
            </w:pPr>
            <w:r>
              <w:rPr>
                <w:sz w:val="17"/>
              </w:rPr>
              <w:t>Backup success and restore test</w:t>
            </w:r>
          </w:p>
        </w:tc>
        <w:tc>
          <w:tcPr>
            <w:tcW w:type="dxa" w:w="2232"/>
            <w:shd w:fill="FFFDF9"/>
          </w:tcPr>
          <w:p>
            <w:pPr>
              <w:spacing w:after="20"/>
            </w:pPr>
            <w:r>
              <w:rPr>
                <w:sz w:val="17"/>
              </w:rPr>
              <w:t>Daily / scheduled test</w:t>
            </w:r>
          </w:p>
        </w:tc>
      </w:tr>
    </w:tbl>
    <w:p/>
    <w:p>
      <w:pPr>
        <w:pStyle w:val="Heading2"/>
        <w:keepNext/>
      </w:pPr>
      <w:r>
        <w:t>Publishing quality gate</w:t>
      </w:r>
    </w:p>
    <w:p>
      <w:pPr>
        <w:pStyle w:val="ListBullet"/>
        <w:spacing w:after="60"/>
        <w:ind w:left="288"/>
      </w:pPr>
      <w:r>
        <w:t>Use a unique human-readable slug.</w:t>
      </w:r>
    </w:p>
    <w:p>
      <w:pPr>
        <w:pStyle w:val="ListBullet"/>
        <w:spacing w:after="60"/>
        <w:ind w:left="288"/>
      </w:pPr>
      <w:r>
        <w:t>Add a useful title, excerpt and cover image with alt text.</w:t>
      </w:r>
    </w:p>
    <w:p>
      <w:pPr>
        <w:pStyle w:val="ListBullet"/>
        <w:spacing w:after="60"/>
        <w:ind w:left="288"/>
      </w:pPr>
      <w:r>
        <w:t>Use correct heading order and a readable table of contents.</w:t>
      </w:r>
    </w:p>
    <w:p>
      <w:pPr>
        <w:pStyle w:val="ListBullet"/>
        <w:spacing w:after="60"/>
        <w:ind w:left="288"/>
      </w:pPr>
      <w:r>
        <w:t>Link to relevant products, services, professionals, tools or guides.</w:t>
      </w:r>
    </w:p>
    <w:p>
      <w:pPr>
        <w:pStyle w:val="ListBullet"/>
        <w:spacing w:after="60"/>
        <w:ind w:left="288"/>
      </w:pPr>
      <w:r>
        <w:t>Set canonical and social metadata.</w:t>
      </w:r>
    </w:p>
    <w:p>
      <w:pPr>
        <w:pStyle w:val="ListBullet"/>
        <w:spacing w:after="60"/>
        <w:ind w:left="288"/>
      </w:pPr>
      <w:r>
        <w:t>Preview mobile and desktop before publishing.</w:t>
      </w:r>
    </w:p>
    <w:p>
      <w:pPr>
        <w:pStyle w:val="Heading2"/>
        <w:keepNext/>
      </w:pPr>
      <w:r>
        <w:t>Product quality gate</w:t>
      </w:r>
    </w:p>
    <w:p>
      <w:pPr>
        <w:pStyle w:val="ListBullet"/>
        <w:spacing w:after="60"/>
        <w:ind w:left="288"/>
      </w:pPr>
      <w:r>
        <w:t>Confirm name, category, brand, unit, price mode and stock status.</w:t>
      </w:r>
    </w:p>
    <w:p>
      <w:pPr>
        <w:pStyle w:val="ListBullet"/>
        <w:spacing w:after="60"/>
        <w:ind w:left="288"/>
      </w:pPr>
      <w:r>
        <w:t>Upload clear images and a local fallback.</w:t>
      </w:r>
    </w:p>
    <w:p>
      <w:pPr>
        <w:pStyle w:val="ListBullet"/>
        <w:spacing w:after="60"/>
        <w:ind w:left="288"/>
      </w:pPr>
      <w:r>
        <w:t>Add specifications, application, standards, warranty and documents.</w:t>
      </w:r>
    </w:p>
    <w:p>
      <w:pPr>
        <w:pStyle w:val="ListBullet"/>
        <w:spacing w:after="60"/>
        <w:ind w:left="288"/>
      </w:pPr>
      <w:r>
        <w:t>Confirm supplier, delivery area and quotation terms.</w:t>
      </w:r>
    </w:p>
    <w:p>
      <w:pPr>
        <w:pStyle w:val="ListBullet"/>
        <w:spacing w:after="60"/>
        <w:ind w:left="288"/>
      </w:pPr>
      <w:r>
        <w:t>Review quick view and full product page separately.</w:t>
      </w:r>
    </w:p>
    <w:p>
      <w:r>
        <w:br w:type="page"/>
      </w:r>
    </w:p>
    <w:p>
      <w:pPr>
        <w:keepNext/>
        <w:spacing w:after="80"/>
      </w:pPr>
      <w:r>
        <w:rPr>
          <w:b/>
          <w:color w:val="FF7900"/>
          <w:sz w:val="16"/>
        </w:rPr>
        <w:t>SECTION 13</w:t>
      </w:r>
    </w:p>
    <w:p>
      <w:pPr>
        <w:pStyle w:val="Heading1"/>
        <w:keepNext/>
      </w:pPr>
      <w:r>
        <w:t>Common errors and solutions</w:t>
      </w:r>
    </w:p>
    <w:tbl>
      <w:tblPr>
        <w:tblStyle w:val="TableGrid"/>
        <w:tblW w:type="auto" w:w="0"/>
        <w:jc w:val="center"/>
        <w:tblLook w:firstColumn="1" w:firstRow="1" w:lastColumn="0" w:lastRow="0" w:noHBand="0" w:noVBand="1" w:val="04A0"/>
      </w:tblPr>
      <w:tblGrid>
        <w:gridCol w:w="3427"/>
        <w:gridCol w:w="3427"/>
        <w:gridCol w:w="3427"/>
      </w:tblGrid>
      <w:tr>
        <w:trPr>
          <w:tblHeader w:val="true"/>
        </w:trPr>
        <w:tc>
          <w:tcPr>
            <w:tcW w:type="dxa" w:w="2160"/>
            <w:shd w:fill="082B4D"/>
          </w:tcPr>
          <w:p>
            <w:r>
              <w:rPr>
                <w:b/>
                <w:color w:val="FFFFFF"/>
                <w:sz w:val="18"/>
              </w:rPr>
              <w:t>Symptom</w:t>
            </w:r>
          </w:p>
        </w:tc>
        <w:tc>
          <w:tcPr>
            <w:tcW w:type="dxa" w:w="3240"/>
            <w:shd w:fill="082B4D"/>
          </w:tcPr>
          <w:p>
            <w:r>
              <w:rPr>
                <w:b/>
                <w:color w:val="FFFFFF"/>
                <w:sz w:val="18"/>
              </w:rPr>
              <w:t>Likely cause</w:t>
            </w:r>
          </w:p>
        </w:tc>
        <w:tc>
          <w:tcPr>
            <w:tcW w:type="dxa" w:w="4032"/>
            <w:shd w:fill="082B4D"/>
          </w:tcPr>
          <w:p>
            <w:r>
              <w:rPr>
                <w:b/>
                <w:color w:val="FFFFFF"/>
                <w:sz w:val="18"/>
              </w:rPr>
              <w:t>Action</w:t>
            </w:r>
          </w:p>
        </w:tc>
      </w:tr>
      <w:tr>
        <w:tc>
          <w:tcPr>
            <w:tcW w:type="dxa" w:w="2160"/>
            <w:shd w:fill="FFFDF9"/>
          </w:tcPr>
          <w:p>
            <w:pPr>
              <w:spacing w:after="20"/>
            </w:pPr>
            <w:r>
              <w:rPr>
                <w:sz w:val="17"/>
              </w:rPr>
              <w:t>Lucide export not found</w:t>
            </w:r>
          </w:p>
        </w:tc>
        <w:tc>
          <w:tcPr>
            <w:tcW w:type="dxa" w:w="3240"/>
            <w:shd w:fill="FFFDF9"/>
          </w:tcPr>
          <w:p>
            <w:pPr>
              <w:spacing w:after="20"/>
            </w:pPr>
            <w:r>
              <w:rPr>
                <w:sz w:val="17"/>
              </w:rPr>
              <w:t>Icon name is unavailable in installed version</w:t>
            </w:r>
          </w:p>
        </w:tc>
        <w:tc>
          <w:tcPr>
            <w:tcW w:type="dxa" w:w="4032"/>
            <w:shd w:fill="FFFDF9"/>
          </w:tcPr>
          <w:p>
            <w:pPr>
              <w:spacing w:after="20"/>
            </w:pPr>
            <w:r>
              <w:rPr>
                <w:sz w:val="17"/>
              </w:rPr>
              <w:t>Replace with a verified exported icon and run verify:lucide</w:t>
            </w:r>
          </w:p>
        </w:tc>
      </w:tr>
      <w:tr>
        <w:tc>
          <w:tcPr>
            <w:tcW w:type="dxa" w:w="2160"/>
          </w:tcPr>
          <w:p>
            <w:pPr>
              <w:spacing w:after="20"/>
            </w:pPr>
            <w:r>
              <w:rPr>
                <w:sz w:val="17"/>
              </w:rPr>
              <w:t>npm ERESOLVE</w:t>
            </w:r>
          </w:p>
        </w:tc>
        <w:tc>
          <w:tcPr>
            <w:tcW w:type="dxa" w:w="3240"/>
          </w:tcPr>
          <w:p>
            <w:pPr>
              <w:spacing w:after="20"/>
            </w:pPr>
            <w:r>
              <w:rPr>
                <w:sz w:val="17"/>
              </w:rPr>
              <w:t>Peer ranges or lockfile conflict</w:t>
            </w:r>
          </w:p>
        </w:tc>
        <w:tc>
          <w:tcPr>
            <w:tcW w:type="dxa" w:w="4032"/>
          </w:tcPr>
          <w:p>
            <w:pPr>
              <w:spacing w:after="20"/>
            </w:pPr>
            <w:r>
              <w:rPr>
                <w:sz w:val="17"/>
              </w:rPr>
              <w:t>Use the pinned V45 package set; remove extra lockfiles; run npm ci</w:t>
            </w:r>
          </w:p>
        </w:tc>
      </w:tr>
      <w:tr>
        <w:tc>
          <w:tcPr>
            <w:tcW w:type="dxa" w:w="2160"/>
            <w:shd w:fill="FFFDF9"/>
          </w:tcPr>
          <w:p>
            <w:pPr>
              <w:spacing w:after="20"/>
            </w:pPr>
            <w:r>
              <w:rPr>
                <w:sz w:val="17"/>
              </w:rPr>
              <w:t>Prisma client error</w:t>
            </w:r>
          </w:p>
        </w:tc>
        <w:tc>
          <w:tcPr>
            <w:tcW w:type="dxa" w:w="3240"/>
            <w:shd w:fill="FFFDF9"/>
          </w:tcPr>
          <w:p>
            <w:pPr>
              <w:spacing w:after="20"/>
            </w:pPr>
            <w:r>
              <w:rPr>
                <w:sz w:val="17"/>
              </w:rPr>
              <w:t>Client not generated or schema mismatch</w:t>
            </w:r>
          </w:p>
        </w:tc>
        <w:tc>
          <w:tcPr>
            <w:tcW w:type="dxa" w:w="4032"/>
            <w:shd w:fill="FFFDF9"/>
          </w:tcPr>
          <w:p>
            <w:pPr>
              <w:spacing w:after="20"/>
            </w:pPr>
            <w:r>
              <w:rPr>
                <w:sz w:val="17"/>
              </w:rPr>
              <w:t>Run prisma generate and review migration status</w:t>
            </w:r>
          </w:p>
        </w:tc>
      </w:tr>
      <w:tr>
        <w:tc>
          <w:tcPr>
            <w:tcW w:type="dxa" w:w="2160"/>
          </w:tcPr>
          <w:p>
            <w:pPr>
              <w:spacing w:after="20"/>
            </w:pPr>
            <w:r>
              <w:rPr>
                <w:sz w:val="17"/>
              </w:rPr>
              <w:t>Build needs environment value</w:t>
            </w:r>
          </w:p>
        </w:tc>
        <w:tc>
          <w:tcPr>
            <w:tcW w:type="dxa" w:w="3240"/>
          </w:tcPr>
          <w:p>
            <w:pPr>
              <w:spacing w:after="20"/>
            </w:pPr>
            <w:r>
              <w:rPr>
                <w:sz w:val="17"/>
              </w:rPr>
              <w:t>Production variable missing</w:t>
            </w:r>
          </w:p>
        </w:tc>
        <w:tc>
          <w:tcPr>
            <w:tcW w:type="dxa" w:w="4032"/>
          </w:tcPr>
          <w:p>
            <w:pPr>
              <w:spacing w:after="20"/>
            </w:pPr>
            <w:r>
              <w:rPr>
                <w:sz w:val="17"/>
              </w:rPr>
              <w:t>Configure it in Vercel; do not commit the secret</w:t>
            </w:r>
          </w:p>
        </w:tc>
      </w:tr>
      <w:tr>
        <w:tc>
          <w:tcPr>
            <w:tcW w:type="dxa" w:w="2160"/>
            <w:shd w:fill="FFFDF9"/>
          </w:tcPr>
          <w:p>
            <w:pPr>
              <w:spacing w:after="20"/>
            </w:pPr>
            <w:r>
              <w:rPr>
                <w:sz w:val="17"/>
              </w:rPr>
              <w:t>Sitemap 404 or conflict</w:t>
            </w:r>
          </w:p>
        </w:tc>
        <w:tc>
          <w:tcPr>
            <w:tcW w:type="dxa" w:w="3240"/>
            <w:shd w:fill="FFFDF9"/>
          </w:tcPr>
          <w:p>
            <w:pPr>
              <w:spacing w:after="20"/>
            </w:pPr>
            <w:r>
              <w:rPr>
                <w:sz w:val="17"/>
              </w:rPr>
              <w:t>HTML and metadata sitemap routes overlap</w:t>
            </w:r>
          </w:p>
        </w:tc>
        <w:tc>
          <w:tcPr>
            <w:tcW w:type="dxa" w:w="4032"/>
            <w:shd w:fill="FFFDF9"/>
          </w:tcPr>
          <w:p>
            <w:pPr>
              <w:spacing w:after="20"/>
            </w:pPr>
            <w:r>
              <w:rPr>
                <w:sz w:val="17"/>
              </w:rPr>
              <w:t>Keep /sitemap page separate from /sitemap.xml metadata output</w:t>
            </w:r>
          </w:p>
        </w:tc>
      </w:tr>
      <w:tr>
        <w:tc>
          <w:tcPr>
            <w:tcW w:type="dxa" w:w="2160"/>
          </w:tcPr>
          <w:p>
            <w:pPr>
              <w:spacing w:after="20"/>
            </w:pPr>
            <w:r>
              <w:rPr>
                <w:sz w:val="17"/>
              </w:rPr>
              <w:t>Pagination repeats records</w:t>
            </w:r>
          </w:p>
        </w:tc>
        <w:tc>
          <w:tcPr>
            <w:tcW w:type="dxa" w:w="3240"/>
          </w:tcPr>
          <w:p>
            <w:pPr>
              <w:spacing w:after="20"/>
            </w:pPr>
            <w:r>
              <w:rPr>
                <w:sz w:val="17"/>
              </w:rPr>
              <w:t>Unstable database ordering</w:t>
            </w:r>
          </w:p>
        </w:tc>
        <w:tc>
          <w:tcPr>
            <w:tcW w:type="dxa" w:w="4032"/>
          </w:tcPr>
          <w:p>
            <w:pPr>
              <w:spacing w:after="20"/>
            </w:pPr>
            <w:r>
              <w:rPr>
                <w:sz w:val="17"/>
              </w:rPr>
              <w:t>Use deterministic secondary ordering and unique IDs</w:t>
            </w:r>
          </w:p>
        </w:tc>
      </w:tr>
      <w:tr>
        <w:tc>
          <w:tcPr>
            <w:tcW w:type="dxa" w:w="2160"/>
            <w:shd w:fill="FFFDF9"/>
          </w:tcPr>
          <w:p>
            <w:pPr>
              <w:spacing w:after="20"/>
            </w:pPr>
            <w:r>
              <w:rPr>
                <w:sz w:val="17"/>
              </w:rPr>
              <w:t>Quick view image missing</w:t>
            </w:r>
          </w:p>
        </w:tc>
        <w:tc>
          <w:tcPr>
            <w:tcW w:type="dxa" w:w="3240"/>
            <w:shd w:fill="FFFDF9"/>
          </w:tcPr>
          <w:p>
            <w:pPr>
              <w:spacing w:after="20"/>
            </w:pPr>
            <w:r>
              <w:rPr>
                <w:sz w:val="17"/>
              </w:rPr>
              <w:t>Invalid remote URL or provider restriction</w:t>
            </w:r>
          </w:p>
        </w:tc>
        <w:tc>
          <w:tcPr>
            <w:tcW w:type="dxa" w:w="4032"/>
            <w:shd w:fill="FFFDF9"/>
          </w:tcPr>
          <w:p>
            <w:pPr>
              <w:spacing w:after="20"/>
            </w:pPr>
            <w:r>
              <w:rPr>
                <w:sz w:val="17"/>
              </w:rPr>
              <w:t>Use SafeProductImage and permitted domains</w:t>
            </w:r>
          </w:p>
        </w:tc>
      </w:tr>
      <w:tr>
        <w:tc>
          <w:tcPr>
            <w:tcW w:type="dxa" w:w="2160"/>
          </w:tcPr>
          <w:p>
            <w:pPr>
              <w:spacing w:after="20"/>
            </w:pPr>
            <w:r>
              <w:rPr>
                <w:sz w:val="17"/>
              </w:rPr>
              <w:t>Older feature disappeared</w:t>
            </w:r>
          </w:p>
        </w:tc>
        <w:tc>
          <w:tcPr>
            <w:tcW w:type="dxa" w:w="3240"/>
          </w:tcPr>
          <w:p>
            <w:pPr>
              <w:spacing w:after="20"/>
            </w:pPr>
            <w:r>
              <w:rPr>
                <w:sz w:val="17"/>
              </w:rPr>
              <w:t>Upgrade started from partial source</w:t>
            </w:r>
          </w:p>
        </w:tc>
        <w:tc>
          <w:tcPr>
            <w:tcW w:type="dxa" w:w="4032"/>
          </w:tcPr>
          <w:p>
            <w:pPr>
              <w:spacing w:after="20"/>
            </w:pPr>
            <w:r>
              <w:rPr>
                <w:sz w:val="17"/>
              </w:rPr>
              <w:t>Restore from latest full base and rerun continuity union</w:t>
            </w:r>
          </w:p>
        </w:tc>
      </w:tr>
      <w:tr>
        <w:tc>
          <w:tcPr>
            <w:tcW w:type="dxa" w:w="2160"/>
            <w:shd w:fill="FFFDF9"/>
          </w:tcPr>
          <w:p>
            <w:pPr>
              <w:spacing w:after="20"/>
            </w:pPr>
            <w:r>
              <w:rPr>
                <w:sz w:val="17"/>
              </w:rPr>
              <w:t>Payment shown but not verified</w:t>
            </w:r>
          </w:p>
        </w:tc>
        <w:tc>
          <w:tcPr>
            <w:tcW w:type="dxa" w:w="3240"/>
            <w:shd w:fill="FFFDF9"/>
          </w:tcPr>
          <w:p>
            <w:pPr>
              <w:spacing w:after="20"/>
            </w:pPr>
            <w:r>
              <w:rPr>
                <w:sz w:val="17"/>
              </w:rPr>
              <w:t>Client redirect treated as success</w:t>
            </w:r>
          </w:p>
        </w:tc>
        <w:tc>
          <w:tcPr>
            <w:tcW w:type="dxa" w:w="4032"/>
            <w:shd w:fill="FFFDF9"/>
          </w:tcPr>
          <w:p>
            <w:pPr>
              <w:spacing w:after="20"/>
            </w:pPr>
            <w:r>
              <w:rPr>
                <w:sz w:val="17"/>
              </w:rPr>
              <w:t>Verify on server using gateway callback/reference</w:t>
            </w:r>
          </w:p>
        </w:tc>
      </w:tr>
    </w:tbl>
    <w:p/>
    <w:p>
      <w:pPr>
        <w:pStyle w:val="Heading2"/>
        <w:keepNext/>
      </w:pPr>
      <w:r>
        <w:t>Diagnostic sequence</w:t>
      </w:r>
    </w:p>
    <w:tbl>
      <w:tblPr>
        <w:tblW w:type="auto" w:w="0"/>
        <w:jc w:val="center"/>
        <w:tblLayout w:type="fixed"/>
        <w:tblLook w:firstColumn="1" w:firstRow="1" w:lastColumn="0" w:lastRow="0" w:noHBand="0" w:noVBand="1" w:val="04A0"/>
      </w:tblPr>
      <w:tblGrid>
        <w:gridCol w:w="792"/>
        <w:gridCol w:w="8784"/>
      </w:tblGrid>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1</w:t>
            </w:r>
          </w:p>
        </w:tc>
        <w:tc>
          <w:tcPr>
            <w:tcW w:type="dxa" w:w="8784"/>
            <w:shd w:fill="FFFDF9"/>
            <w:tcBorders>
              <w:top w:val="single" w:sz="6" w:color="D9E4E6"/>
              <w:left w:val="single" w:sz="6" w:color="D9E4E6"/>
              <w:bottom w:val="single" w:sz="6" w:color="D9E4E6"/>
              <w:right w:val="single" w:sz="6" w:color="D9E4E6"/>
            </w:tcBorders>
          </w:tcPr>
          <w:p>
            <w:r>
              <w:rPr>
                <w:b/>
                <w:color w:val="082B4D"/>
              </w:rPr>
              <w:t>Read the exact first error</w:t>
            </w:r>
          </w:p>
          <w:p>
            <w:pPr>
              <w:spacing w:after="40"/>
            </w:pPr>
            <w:r>
              <w:t>Later errors may only be consequences.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2</w:t>
            </w:r>
          </w:p>
        </w:tc>
        <w:tc>
          <w:tcPr>
            <w:tcW w:type="dxa" w:w="8784"/>
            <w:shd w:fill="FFFDF9"/>
            <w:tcBorders>
              <w:top w:val="single" w:sz="6" w:color="D9E4E6"/>
              <w:left w:val="single" w:sz="6" w:color="D9E4E6"/>
              <w:bottom w:val="single" w:sz="6" w:color="D9E4E6"/>
              <w:right w:val="single" w:sz="6" w:color="D9E4E6"/>
            </w:tcBorders>
          </w:tcPr>
          <w:p>
            <w:r>
              <w:rPr>
                <w:b/>
                <w:color w:val="082B4D"/>
              </w:rPr>
              <w:t>Confirm version and lockfile</w:t>
            </w:r>
          </w:p>
          <w:p>
            <w:pPr>
              <w:spacing w:after="40"/>
            </w:pPr>
            <w:r>
              <w:t>Check Node, npm, Next, React, Prisma and Lucide.</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3</w:t>
            </w:r>
          </w:p>
        </w:tc>
        <w:tc>
          <w:tcPr>
            <w:tcW w:type="dxa" w:w="8784"/>
            <w:shd w:fill="FFFDF9"/>
            <w:tcBorders>
              <w:top w:val="single" w:sz="6" w:color="D9E4E6"/>
              <w:left w:val="single" w:sz="6" w:color="D9E4E6"/>
              <w:bottom w:val="single" w:sz="6" w:color="D9E4E6"/>
              <w:right w:val="single" w:sz="6" w:color="D9E4E6"/>
            </w:tcBorders>
          </w:tcPr>
          <w:p>
            <w:r>
              <w:rPr>
                <w:b/>
                <w:color w:val="082B4D"/>
              </w:rPr>
              <w:t>Run targeted verification</w:t>
            </w:r>
          </w:p>
          <w:p>
            <w:pPr>
              <w:spacing w:after="40"/>
            </w:pPr>
            <w:r>
              <w:t>Use package, Lucide, continuity, route and content scripts.</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4</w:t>
            </w:r>
          </w:p>
        </w:tc>
        <w:tc>
          <w:tcPr>
            <w:tcW w:type="dxa" w:w="8784"/>
            <w:shd w:fill="FFFDF9"/>
            <w:tcBorders>
              <w:top w:val="single" w:sz="6" w:color="D9E4E6"/>
              <w:left w:val="single" w:sz="6" w:color="D9E4E6"/>
              <w:bottom w:val="single" w:sz="6" w:color="D9E4E6"/>
              <w:right w:val="single" w:sz="6" w:color="D9E4E6"/>
            </w:tcBorders>
          </w:tcPr>
          <w:p>
            <w:r>
              <w:rPr>
                <w:b/>
                <w:color w:val="082B4D"/>
              </w:rPr>
              <w:t>Run typecheck and production build</w:t>
            </w:r>
          </w:p>
          <w:p>
            <w:pPr>
              <w:spacing w:after="40"/>
            </w:pPr>
            <w:r>
              <w:t>Development mode may not expose every static error.</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5</w:t>
            </w:r>
          </w:p>
        </w:tc>
        <w:tc>
          <w:tcPr>
            <w:tcW w:type="dxa" w:w="8784"/>
            <w:shd w:fill="FFFDF9"/>
            <w:tcBorders>
              <w:top w:val="single" w:sz="6" w:color="D9E4E6"/>
              <w:left w:val="single" w:sz="6" w:color="D9E4E6"/>
              <w:bottom w:val="single" w:sz="6" w:color="D9E4E6"/>
              <w:right w:val="single" w:sz="6" w:color="D9E4E6"/>
            </w:tcBorders>
          </w:tcPr>
          <w:p>
            <w:r>
              <w:rPr>
                <w:b/>
                <w:color w:val="082B4D"/>
              </w:rPr>
              <w:t>Reproduce in staging</w:t>
            </w:r>
          </w:p>
          <w:p>
            <w:pPr>
              <w:spacing w:after="40"/>
            </w:pPr>
            <w:r>
              <w:t>Use production-like environment and data.</w:t>
            </w:r>
          </w:p>
        </w:tc>
      </w:tr>
      <w:tr>
        <w:tc>
          <w:tcPr>
            <w:tcW w:type="dxa" w:w="792"/>
            <w:shd w:fill="08758B"/>
            <w:tcBorders>
              <w:top w:val="single" w:sz="6" w:color="08758B"/>
              <w:left w:val="single" w:sz="6" w:color="08758B"/>
              <w:bottom w:val="single" w:sz="6" w:color="08758B"/>
              <w:right w:val="single" w:sz="6" w:color="08758B"/>
            </w:tcBorders>
            <w:vAlign w:val="center"/>
          </w:tcPr>
          <w:p>
            <w:pPr>
              <w:jc w:val="center"/>
            </w:pPr>
            <w:r>
              <w:rPr>
                <w:b/>
                <w:color w:val="FFFFFF"/>
                <w:sz w:val="28"/>
              </w:rPr>
              <w:t>6</w:t>
            </w:r>
          </w:p>
        </w:tc>
        <w:tc>
          <w:tcPr>
            <w:tcW w:type="dxa" w:w="8784"/>
            <w:shd w:fill="FFFDF9"/>
            <w:tcBorders>
              <w:top w:val="single" w:sz="6" w:color="D9E4E6"/>
              <w:left w:val="single" w:sz="6" w:color="D9E4E6"/>
              <w:bottom w:val="single" w:sz="6" w:color="D9E4E6"/>
              <w:right w:val="single" w:sz="6" w:color="D9E4E6"/>
            </w:tcBorders>
          </w:tcPr>
          <w:p>
            <w:r>
              <w:rPr>
                <w:b/>
                <w:color w:val="082B4D"/>
              </w:rPr>
              <w:t>Document the fix</w:t>
            </w:r>
          </w:p>
          <w:p>
            <w:pPr>
              <w:spacing w:after="40"/>
            </w:pPr>
            <w:r>
              <w:t>Add a regression check when practical.</w:t>
            </w:r>
          </w:p>
        </w:tc>
      </w:tr>
    </w:tbl>
    <w:p/>
    <w:p>
      <w:r>
        <w:br w:type="page"/>
      </w:r>
    </w:p>
    <w:p>
      <w:pPr>
        <w:keepNext/>
        <w:spacing w:after="80"/>
      </w:pPr>
      <w:r>
        <w:rPr>
          <w:b/>
          <w:color w:val="FF7900"/>
          <w:sz w:val="16"/>
        </w:rPr>
        <w:t>SECTION 14</w:t>
      </w:r>
    </w:p>
    <w:p>
      <w:pPr>
        <w:pStyle w:val="Heading1"/>
        <w:keepNext/>
      </w:pPr>
      <w:r>
        <w:t>Final launch checklist</w:t>
      </w:r>
    </w:p>
    <w:p>
      <w:pPr>
        <w:spacing w:after="80"/>
      </w:pPr>
      <w:r>
        <w:rPr>
          <w:b/>
          <w:color w:val="08758B"/>
        </w:rPr>
        <w:t xml:space="preserve">☐ </w:t>
      </w:r>
      <w:r>
        <w:t>Source backup and database backup are verified.</w:t>
      </w:r>
    </w:p>
    <w:p>
      <w:pPr>
        <w:spacing w:after="80"/>
      </w:pPr>
      <w:r>
        <w:rPr>
          <w:b/>
          <w:color w:val="08758B"/>
        </w:rPr>
        <w:t xml:space="preserve">☐ </w:t>
      </w:r>
      <w:r>
        <w:t>V42–V44 continuity check passes.</w:t>
      </w:r>
    </w:p>
    <w:p>
      <w:pPr>
        <w:spacing w:after="80"/>
      </w:pPr>
      <w:r>
        <w:rPr>
          <w:b/>
          <w:color w:val="08758B"/>
        </w:rPr>
        <w:t xml:space="preserve">☐ </w:t>
      </w:r>
      <w:r>
        <w:t>Root package.json and package-lock.json are synchronised.</w:t>
      </w:r>
    </w:p>
    <w:p>
      <w:pPr>
        <w:spacing w:after="80"/>
      </w:pPr>
      <w:r>
        <w:rPr>
          <w:b/>
          <w:color w:val="08758B"/>
        </w:rPr>
        <w:t xml:space="preserve">☐ </w:t>
      </w:r>
      <w:r>
        <w:t>No extra package-manager lockfile exists.</w:t>
      </w:r>
    </w:p>
    <w:p>
      <w:pPr>
        <w:spacing w:after="80"/>
      </w:pPr>
      <w:r>
        <w:rPr>
          <w:b/>
          <w:color w:val="08758B"/>
        </w:rPr>
        <w:t xml:space="preserve">☐ </w:t>
      </w:r>
      <w:r>
        <w:t>Package compatibility and installed Lucide export checks pass.</w:t>
      </w:r>
    </w:p>
    <w:p>
      <w:pPr>
        <w:spacing w:after="80"/>
      </w:pPr>
      <w:r>
        <w:rPr>
          <w:b/>
          <w:color w:val="08758B"/>
        </w:rPr>
        <w:t xml:space="preserve">☐ </w:t>
      </w:r>
      <w:r>
        <w:t>Prisma Client is generated and migrations pass in staging.</w:t>
      </w:r>
    </w:p>
    <w:p>
      <w:pPr>
        <w:spacing w:after="80"/>
      </w:pPr>
      <w:r>
        <w:rPr>
          <w:b/>
          <w:color w:val="08758B"/>
        </w:rPr>
        <w:t xml:space="preserve">☐ </w:t>
      </w:r>
      <w:r>
        <w:t>TypeScript and production build pass.</w:t>
      </w:r>
    </w:p>
    <w:p>
      <w:pPr>
        <w:spacing w:after="80"/>
      </w:pPr>
      <w:r>
        <w:rPr>
          <w:b/>
          <w:color w:val="08758B"/>
        </w:rPr>
        <w:t xml:space="preserve">☐ </w:t>
      </w:r>
      <w:r>
        <w:t>Routes, static links, API links, redirects and sitemaps pass.</w:t>
      </w:r>
    </w:p>
    <w:p>
      <w:pPr>
        <w:spacing w:after="80"/>
      </w:pPr>
      <w:r>
        <w:rPr>
          <w:b/>
          <w:color w:val="08758B"/>
        </w:rPr>
        <w:t xml:space="preserve">☐ </w:t>
      </w:r>
      <w:r>
        <w:t>Blog and product pagination work with filters, page size and browser history.</w:t>
      </w:r>
    </w:p>
    <w:p>
      <w:pPr>
        <w:spacing w:after="80"/>
      </w:pPr>
      <w:r>
        <w:rPr>
          <w:b/>
          <w:color w:val="08758B"/>
        </w:rPr>
        <w:t xml:space="preserve">☐ </w:t>
      </w:r>
      <w:r>
        <w:t>Quick view works on mobile, tablet, desktop and keyboard.</w:t>
      </w:r>
    </w:p>
    <w:p>
      <w:pPr>
        <w:spacing w:after="80"/>
      </w:pPr>
      <w:r>
        <w:rPr>
          <w:b/>
          <w:color w:val="08758B"/>
        </w:rPr>
        <w:t xml:space="preserve">☐ </w:t>
      </w:r>
      <w:r>
        <w:t>Professional registration, contact and RFQ persist real records.</w:t>
      </w:r>
    </w:p>
    <w:p>
      <w:pPr>
        <w:spacing w:after="80"/>
      </w:pPr>
      <w:r>
        <w:rPr>
          <w:b/>
          <w:color w:val="08758B"/>
        </w:rPr>
        <w:t xml:space="preserve">☐ </w:t>
      </w:r>
      <w:r>
        <w:t>Authentication and every server-side role permission are tested.</w:t>
      </w:r>
    </w:p>
    <w:p>
      <w:pPr>
        <w:spacing w:after="80"/>
      </w:pPr>
      <w:r>
        <w:rPr>
          <w:b/>
          <w:color w:val="08758B"/>
        </w:rPr>
        <w:t xml:space="preserve">☐ </w:t>
      </w:r>
      <w:r>
        <w:t>Images, documents and private downloads use correct access controls.</w:t>
      </w:r>
    </w:p>
    <w:p>
      <w:pPr>
        <w:spacing w:after="80"/>
      </w:pPr>
      <w:r>
        <w:rPr>
          <w:b/>
          <w:color w:val="08758B"/>
        </w:rPr>
        <w:t xml:space="preserve">☐ </w:t>
      </w:r>
      <w:r>
        <w:t>Payment callbacks are verified in sandbox and production configuration is reviewed.</w:t>
      </w:r>
    </w:p>
    <w:p>
      <w:pPr>
        <w:spacing w:after="80"/>
      </w:pPr>
      <w:r>
        <w:rPr>
          <w:b/>
          <w:color w:val="08758B"/>
        </w:rPr>
        <w:t xml:space="preserve">☐ </w:t>
      </w:r>
      <w:r>
        <w:t>Email delivery, notification and monitoring are tested.</w:t>
      </w:r>
    </w:p>
    <w:p>
      <w:pPr>
        <w:spacing w:after="80"/>
      </w:pPr>
      <w:r>
        <w:rPr>
          <w:b/>
          <w:color w:val="08758B"/>
        </w:rPr>
        <w:t xml:space="preserve">☐ </w:t>
      </w:r>
      <w:r>
        <w:t>HTML and XML sitemaps are reachable on the canonical domain.</w:t>
      </w:r>
    </w:p>
    <w:p>
      <w:pPr>
        <w:spacing w:after="80"/>
      </w:pPr>
      <w:r>
        <w:rPr>
          <w:b/>
          <w:color w:val="08758B"/>
        </w:rPr>
        <w:t xml:space="preserve">☐ </w:t>
      </w:r>
      <w:r>
        <w:t>Robots, metadata, canonical URLs and social previews are reviewed.</w:t>
      </w:r>
    </w:p>
    <w:p>
      <w:pPr>
        <w:spacing w:after="80"/>
      </w:pPr>
      <w:r>
        <w:rPr>
          <w:b/>
          <w:color w:val="08758B"/>
        </w:rPr>
        <w:t xml:space="preserve">☐ </w:t>
      </w:r>
      <w:r>
        <w:t>Mobile deep links, offline drafts and push configuration are tested on devices.</w:t>
      </w:r>
    </w:p>
    <w:p>
      <w:pPr>
        <w:spacing w:after="80"/>
      </w:pPr>
      <w:r>
        <w:rPr>
          <w:b/>
          <w:color w:val="08758B"/>
        </w:rPr>
        <w:t xml:space="preserve">☐ </w:t>
      </w:r>
      <w:r>
        <w:t>Previous healthy deployment and rollback owner are confirmed.</w:t>
      </w:r>
    </w:p>
    <w:p>
      <w:pPr>
        <w:spacing w:after="80"/>
      </w:pPr>
      <w:r>
        <w:rPr>
          <w:b/>
          <w:color w:val="08758B"/>
        </w:rPr>
        <w:t xml:space="preserve">☐ </w:t>
      </w:r>
      <w:r>
        <w:t>Release notes and known limitations are approved.</w:t>
      </w:r>
    </w:p>
    <w:tbl>
      <w:tblPr>
        <w:tblW w:type="auto" w:w="0"/>
        <w:jc w:val="center"/>
        <w:tblLook w:firstColumn="1" w:firstRow="1" w:lastColumn="0" w:lastRow="0" w:noHBand="0" w:noVBand="1" w:val="04A0"/>
      </w:tblPr>
      <w:tblGrid>
        <w:gridCol w:w="10282"/>
      </w:tblGrid>
      <w:tr>
        <w:tc>
          <w:tcPr>
            <w:tcW w:type="dxa" w:w="10282"/>
            <w:shd w:fill="FFF9F0"/>
            <w:tcBorders>
              <w:top w:val="single" w:sz="10" w:color="FF7900"/>
              <w:left w:val="single" w:sz="10" w:color="FF7900"/>
              <w:bottom w:val="single" w:sz="10" w:color="FF7900"/>
              <w:right w:val="single" w:sz="10" w:color="FF7900"/>
            </w:tcBorders>
          </w:tcPr>
          <w:p>
            <w:r>
              <w:rPr>
                <w:b/>
                <w:color w:val="FF7900"/>
                <w:sz w:val="22"/>
              </w:rPr>
              <w:t>Release decision</w:t>
            </w:r>
          </w:p>
          <w:p>
            <w:pPr>
              <w:spacing w:after="40"/>
            </w:pPr>
            <w:r>
              <w:t>Do not label the system production-ready until every applicable item is completed and the result is recorded honestly.</w:t>
            </w:r>
          </w:p>
        </w:tc>
      </w:tr>
    </w:tbl>
    <w:p/>
    <w:p>
      <w:pPr>
        <w:pStyle w:val="Heading2"/>
        <w:keepNext/>
      </w:pPr>
      <w:r>
        <w:t>Key project files</w:t>
      </w:r>
    </w:p>
    <w:p>
      <w:pPr>
        <w:pStyle w:val="ListBullet"/>
        <w:spacing w:after="60"/>
        <w:ind w:left="288"/>
      </w:pPr>
      <w:r>
        <w:t>START_HERE_V45.md</w:t>
      </w:r>
    </w:p>
    <w:p>
      <w:pPr>
        <w:pStyle w:val="ListBullet"/>
        <w:spacing w:after="60"/>
        <w:ind w:left="288"/>
      </w:pPr>
      <w:r>
        <w:t>V45_RELEASE_NOTES.md</w:t>
      </w:r>
    </w:p>
    <w:p>
      <w:pPr>
        <w:pStyle w:val="ListBullet"/>
        <w:spacing w:after="60"/>
        <w:ind w:left="288"/>
      </w:pPr>
      <w:r>
        <w:t>V45_DEPLOYMENT_GUIDE.md</w:t>
      </w:r>
    </w:p>
    <w:p>
      <w:pPr>
        <w:pStyle w:val="ListBullet"/>
        <w:spacing w:after="60"/>
        <w:ind w:left="288"/>
      </w:pPr>
      <w:r>
        <w:t>V45_VERSION_CONTINUITY_REPORT.md</w:t>
      </w:r>
    </w:p>
    <w:p>
      <w:pPr>
        <w:pStyle w:val="ListBullet"/>
        <w:spacing w:after="60"/>
        <w:ind w:left="288"/>
      </w:pPr>
      <w:r>
        <w:t>V45_PRODUCTION_CHECKLIST.md</w:t>
      </w:r>
    </w:p>
    <w:p>
      <w:pPr>
        <w:pStyle w:val="ListBullet"/>
        <w:spacing w:after="60"/>
        <w:ind w:left="288"/>
      </w:pPr>
      <w:r>
        <w:t>V45_VALIDATION_REPORT.md</w:t>
      </w:r>
    </w:p>
    <w:p>
      <w:pPr>
        <w:pStyle w:val="ListBullet"/>
        <w:spacing w:after="60"/>
        <w:ind w:left="288"/>
      </w:pPr>
      <w:r>
        <w:t>scripts/version-union-manifest-v42-v44.json</w:t>
      </w:r>
    </w:p>
    <w:sectPr w:rsidR="00FC693F" w:rsidRPr="0006063C" w:rsidSect="00034616">
      <w:footerReference w:type="default" r:id="rId9"/>
      <w:headerReference w:type="default" r:id="rId11"/>
      <w:pgSz w:w="12240" w:h="15840"/>
      <w:pgMar w:top="792" w:right="979" w:bottom="792" w:left="979"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26579"/>
        <w:sz w:val="16"/>
      </w:rPr>
      <w:t xml:space="preserve">Build Mart Nepal V45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b/>
        <w:color w:val="08758B"/>
        <w:sz w:val="15"/>
      </w:rPr>
      <w:t>BUILD MART NEPAL  •  V45 RELEASE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52657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20"/>
      <w:outlineLvl w:val="0"/>
    </w:pPr>
    <w:rPr>
      <w:rFonts w:asciiTheme="majorHAnsi" w:eastAsiaTheme="majorEastAsia" w:hAnsiTheme="majorHAnsi" w:cstheme="majorBidi" w:ascii="Aptos Display" w:hAnsi="Aptos Display"/>
      <w:b/>
      <w:bCs/>
      <w:color w:val="082B4D"/>
      <w:sz w:val="46"/>
      <w:szCs w:val="28"/>
    </w:rPr>
  </w:style>
  <w:style w:type="paragraph" w:styleId="Heading2">
    <w:name w:val="heading 2"/>
    <w:basedOn w:val="Normal"/>
    <w:next w:val="Normal"/>
    <w:link w:val="Heading2Char"/>
    <w:uiPriority w:val="9"/>
    <w:unhideWhenUsed/>
    <w:qFormat/>
    <w:rsid w:val="00FC693F"/>
    <w:pPr>
      <w:keepNext/>
      <w:keepLines/>
      <w:spacing w:before="160" w:after="120"/>
      <w:outlineLvl w:val="1"/>
    </w:pPr>
    <w:rPr>
      <w:rFonts w:asciiTheme="majorHAnsi" w:eastAsiaTheme="majorEastAsia" w:hAnsiTheme="majorHAnsi" w:cstheme="majorBidi" w:ascii="Aptos Display" w:hAnsi="Aptos Display"/>
      <w:b/>
      <w:bCs/>
      <w:color w:val="08758B"/>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ascii="Aptos Display" w:hAnsi="Aptos Display"/>
      <w:b/>
      <w:bCs/>
      <w:color w:val="082B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160"/>
      <w:contextualSpacing/>
    </w:pPr>
    <w:rPr>
      <w:rFonts w:asciiTheme="majorHAnsi" w:eastAsiaTheme="majorEastAsia" w:hAnsiTheme="majorHAnsi" w:cstheme="majorBidi" w:ascii="Aptos Display" w:hAnsi="Aptos Display"/>
      <w:b/>
      <w:color w:val="082B4D"/>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MNSubtitle">
    <w:name w:val="BMN Subtitle"/>
    <w:rPr>
      <w:rFonts w:ascii="Aptos" w:hAnsi="Aptos"/>
      <w:color w:val="08758B"/>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